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E6A3F" w14:textId="77777777" w:rsidR="001F260D" w:rsidRPr="00CD3187" w:rsidRDefault="001F260D" w:rsidP="001F6AE2">
      <w:pPr>
        <w:jc w:val="both"/>
        <w:rPr>
          <w:rFonts w:ascii="Arial Narrow" w:hAnsi="Arial Narrow" w:cs="Arial"/>
          <w:sz w:val="22"/>
          <w:szCs w:val="22"/>
          <w:lang w:val="es-ES_tradnl"/>
        </w:rPr>
      </w:pPr>
      <w:bookmarkStart w:id="0" w:name="_GoBack"/>
      <w:bookmarkEnd w:id="0"/>
    </w:p>
    <w:p w14:paraId="174EF56A" w14:textId="77777777" w:rsidR="00452CF7" w:rsidRDefault="00452CF7"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4B29A72B" w14:textId="77777777" w:rsidR="00916E2B" w:rsidRPr="00CD3187" w:rsidRDefault="00DB4753"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r w:rsidRPr="00CD3187">
        <w:rPr>
          <w:rFonts w:ascii="Arial Narrow" w:eastAsia="Batang" w:hAnsi="Arial Narrow" w:cs="Arial"/>
          <w:b/>
          <w:caps/>
          <w:sz w:val="22"/>
          <w:szCs w:val="22"/>
          <w:lang w:eastAsia="ko-KR"/>
        </w:rPr>
        <w:t xml:space="preserve">Proyecto de </w:t>
      </w:r>
      <w:r w:rsidR="00CD3187">
        <w:rPr>
          <w:rFonts w:ascii="Arial Narrow" w:eastAsia="Batang" w:hAnsi="Arial Narrow" w:cs="Arial"/>
          <w:b/>
          <w:caps/>
          <w:sz w:val="22"/>
          <w:szCs w:val="22"/>
          <w:lang w:eastAsia="ko-KR"/>
        </w:rPr>
        <w:t>RESOLUCIÓN</w:t>
      </w:r>
    </w:p>
    <w:p w14:paraId="17FEF749" w14:textId="77777777" w:rsidR="00C46816" w:rsidRPr="00CD3187"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625E1AFA" w14:textId="77777777" w:rsidR="00C95E43" w:rsidRPr="00C95E43" w:rsidRDefault="00963F7A" w:rsidP="00C95E43">
      <w:pPr>
        <w:jc w:val="center"/>
        <w:rPr>
          <w:rFonts w:ascii="Arial Narrow" w:eastAsia="Times New Roman" w:hAnsi="Arial Narrow"/>
          <w:i/>
          <w:lang w:val="es-ES_tradnl" w:eastAsia="es-ES"/>
        </w:rPr>
      </w:pPr>
      <w:r w:rsidRPr="00963F7A">
        <w:rPr>
          <w:rFonts w:ascii="Arial Narrow" w:hAnsi="Arial Narrow" w:cs="Arial"/>
          <w:sz w:val="22"/>
          <w:szCs w:val="22"/>
        </w:rPr>
        <w:t>“</w:t>
      </w:r>
      <w:r w:rsidR="00C95E43" w:rsidRPr="00C95E43">
        <w:rPr>
          <w:rFonts w:ascii="Arial Narrow" w:eastAsia="Times New Roman" w:hAnsi="Arial Narrow"/>
          <w:i/>
          <w:lang w:val="es-ES_tradnl" w:eastAsia="es-ES"/>
        </w:rPr>
        <w:t>Por la cual se expiden normas relativas a la gestión del espectro radioeléctrico”</w:t>
      </w:r>
    </w:p>
    <w:p w14:paraId="4F3DD1A5" w14:textId="77777777" w:rsidR="00C95E43" w:rsidRPr="00C95E43" w:rsidRDefault="00C95E43" w:rsidP="00C95E43">
      <w:pPr>
        <w:widowControl w:val="0"/>
        <w:autoSpaceDE w:val="0"/>
        <w:autoSpaceDN w:val="0"/>
        <w:adjustRightInd w:val="0"/>
        <w:jc w:val="center"/>
        <w:rPr>
          <w:rFonts w:ascii="Arial Narrow" w:eastAsia="Times New Roman" w:hAnsi="Arial Narrow"/>
          <w:lang w:val="es-ES_tradnl" w:eastAsia="es-ES"/>
        </w:rPr>
      </w:pPr>
    </w:p>
    <w:p w14:paraId="5609BA52" w14:textId="16EDB724" w:rsidR="00C46816" w:rsidRPr="00C95E43" w:rsidRDefault="00C46816" w:rsidP="00C95E43">
      <w:pPr>
        <w:jc w:val="center"/>
        <w:rPr>
          <w:rFonts w:ascii="Arial Narrow" w:eastAsia="Times New Roman" w:hAnsi="Arial Narrow"/>
          <w:color w:val="000000" w:themeColor="text1"/>
          <w:sz w:val="22"/>
          <w:szCs w:val="22"/>
          <w:lang w:val="es-ES_tradnl" w:eastAsia="es-ES"/>
        </w:rPr>
      </w:pPr>
    </w:p>
    <w:p w14:paraId="4E3DAE22" w14:textId="02CAE513" w:rsidR="00C46816" w:rsidRPr="00CD3187" w:rsidRDefault="00452CF7" w:rsidP="00C46816">
      <w:pPr>
        <w:jc w:val="center"/>
        <w:rPr>
          <w:rFonts w:ascii="Arial Narrow" w:hAnsi="Arial Narrow" w:cs="Arial"/>
          <w:b/>
          <w:sz w:val="22"/>
          <w:szCs w:val="22"/>
        </w:rPr>
      </w:pPr>
      <w:r>
        <w:rPr>
          <w:rFonts w:ascii="Arial Narrow" w:hAnsi="Arial Narrow" w:cs="Arial"/>
          <w:b/>
          <w:sz w:val="22"/>
          <w:szCs w:val="22"/>
        </w:rPr>
        <w:t xml:space="preserve">Bogotá D.C., </w:t>
      </w:r>
      <w:r w:rsidR="00245FD1">
        <w:rPr>
          <w:rFonts w:ascii="Arial Narrow" w:hAnsi="Arial Narrow" w:cs="Arial"/>
          <w:b/>
          <w:sz w:val="22"/>
          <w:szCs w:val="22"/>
        </w:rPr>
        <w:t xml:space="preserve">2 de </w:t>
      </w:r>
      <w:r w:rsidR="00A46D65">
        <w:rPr>
          <w:rFonts w:ascii="Arial Narrow" w:hAnsi="Arial Narrow" w:cs="Arial"/>
          <w:b/>
          <w:sz w:val="22"/>
          <w:szCs w:val="22"/>
        </w:rPr>
        <w:t>enero</w:t>
      </w:r>
      <w:r w:rsidR="002D315B">
        <w:rPr>
          <w:rFonts w:ascii="Arial Narrow" w:hAnsi="Arial Narrow" w:cs="Arial"/>
          <w:b/>
          <w:sz w:val="22"/>
          <w:szCs w:val="22"/>
        </w:rPr>
        <w:t xml:space="preserve"> </w:t>
      </w:r>
      <w:r>
        <w:rPr>
          <w:rFonts w:ascii="Arial Narrow" w:hAnsi="Arial Narrow" w:cs="Arial"/>
          <w:b/>
          <w:sz w:val="22"/>
          <w:szCs w:val="22"/>
        </w:rPr>
        <w:t>de 201</w:t>
      </w:r>
      <w:r w:rsidR="00A46D65">
        <w:rPr>
          <w:rFonts w:ascii="Arial Narrow" w:hAnsi="Arial Narrow" w:cs="Arial"/>
          <w:b/>
          <w:sz w:val="22"/>
          <w:szCs w:val="22"/>
        </w:rPr>
        <w:t>9</w:t>
      </w:r>
    </w:p>
    <w:p w14:paraId="2F4E4018" w14:textId="77777777" w:rsidR="00C46816" w:rsidRPr="00CD3187" w:rsidRDefault="00C46816" w:rsidP="00C46816">
      <w:pPr>
        <w:jc w:val="center"/>
        <w:rPr>
          <w:rFonts w:ascii="Arial Narrow" w:hAnsi="Arial Narrow" w:cs="Arial"/>
          <w:b/>
          <w:sz w:val="22"/>
          <w:szCs w:val="22"/>
        </w:rPr>
      </w:pPr>
    </w:p>
    <w:p w14:paraId="67FDA837" w14:textId="77777777" w:rsidR="00C46816" w:rsidRPr="00CD3187" w:rsidRDefault="00C46816" w:rsidP="00C46816">
      <w:pPr>
        <w:jc w:val="both"/>
        <w:rPr>
          <w:rFonts w:ascii="Arial Narrow" w:hAnsi="Arial Narrow" w:cs="Arial"/>
          <w:b/>
          <w:sz w:val="22"/>
          <w:szCs w:val="22"/>
        </w:rPr>
      </w:pPr>
    </w:p>
    <w:p w14:paraId="092B3B79" w14:textId="77777777" w:rsidR="00584CD6" w:rsidRPr="00CD3187" w:rsidRDefault="00584CD6" w:rsidP="00584CD6">
      <w:pPr>
        <w:ind w:left="705" w:hanging="705"/>
        <w:rPr>
          <w:rFonts w:ascii="Arial Narrow" w:hAnsi="Arial Narrow" w:cs="Arial"/>
          <w:b/>
          <w:sz w:val="22"/>
          <w:szCs w:val="22"/>
          <w:lang w:val="es-ES_tradnl"/>
        </w:rPr>
      </w:pPr>
      <w:r w:rsidRPr="00CD3187">
        <w:rPr>
          <w:rFonts w:ascii="Arial Narrow" w:hAnsi="Arial Narrow" w:cs="Arial"/>
          <w:b/>
          <w:sz w:val="22"/>
          <w:szCs w:val="22"/>
          <w:lang w:val="es-ES_tradnl"/>
        </w:rPr>
        <w:t>1.</w:t>
      </w:r>
      <w:r w:rsidRPr="00CD3187">
        <w:rPr>
          <w:rFonts w:ascii="Arial Narrow" w:hAnsi="Arial Narrow" w:cs="Arial"/>
          <w:b/>
          <w:sz w:val="22"/>
          <w:szCs w:val="22"/>
          <w:lang w:val="es-ES_tradnl"/>
        </w:rPr>
        <w:tab/>
        <w:t>Antecedentes y las razones de oportunidad y conveniencia que justifican la expedición de la norma</w:t>
      </w:r>
    </w:p>
    <w:p w14:paraId="5A953D3D" w14:textId="1243CB02" w:rsidR="001B5EBF" w:rsidRDefault="001B5EBF" w:rsidP="00584CD6">
      <w:pPr>
        <w:jc w:val="both"/>
        <w:rPr>
          <w:rFonts w:ascii="Arial Narrow" w:hAnsi="Arial Narrow" w:cs="Arial"/>
          <w:sz w:val="22"/>
          <w:szCs w:val="22"/>
          <w:lang w:val="es-ES_tradnl"/>
        </w:rPr>
      </w:pPr>
    </w:p>
    <w:p w14:paraId="4DCFC113" w14:textId="77777777" w:rsidR="00812E11" w:rsidRPr="00CD3187" w:rsidRDefault="00812E11" w:rsidP="00584CD6">
      <w:pPr>
        <w:jc w:val="both"/>
        <w:rPr>
          <w:rFonts w:ascii="Arial Narrow" w:hAnsi="Arial Narrow" w:cs="Arial"/>
          <w:sz w:val="22"/>
          <w:szCs w:val="22"/>
          <w:lang w:val="es-ES_tradnl"/>
        </w:rPr>
      </w:pPr>
    </w:p>
    <w:p w14:paraId="1955B82A" w14:textId="198EFD57" w:rsidR="006A0F11" w:rsidRPr="006A0F11" w:rsidRDefault="006A0F11" w:rsidP="006A0F11">
      <w:pPr>
        <w:jc w:val="both"/>
        <w:rPr>
          <w:rFonts w:ascii="Arial Narrow" w:eastAsia="Times New Roman" w:hAnsi="Arial Narrow"/>
          <w:color w:val="000000" w:themeColor="text1"/>
          <w:sz w:val="22"/>
          <w:szCs w:val="22"/>
          <w:lang w:val="es-ES_tradnl"/>
        </w:rPr>
      </w:pPr>
      <w:r>
        <w:rPr>
          <w:rFonts w:ascii="Arial Narrow" w:eastAsia="Times New Roman" w:hAnsi="Arial Narrow"/>
          <w:color w:val="000000" w:themeColor="text1"/>
          <w:sz w:val="22"/>
          <w:szCs w:val="22"/>
          <w:lang w:val="es-ES_tradnl"/>
        </w:rPr>
        <w:t>C</w:t>
      </w:r>
      <w:r w:rsidRPr="006A0F11">
        <w:rPr>
          <w:rFonts w:ascii="Arial Narrow" w:eastAsia="Times New Roman" w:hAnsi="Arial Narrow"/>
          <w:color w:val="000000" w:themeColor="text1"/>
          <w:sz w:val="22"/>
          <w:szCs w:val="22"/>
          <w:lang w:val="es-ES_tradnl"/>
        </w:rPr>
        <w:t xml:space="preserve">onforme a la Ley 1341 de 2009, </w:t>
      </w:r>
      <w:r w:rsidRPr="006A0F11">
        <w:rPr>
          <w:rFonts w:ascii="Arial Narrow" w:eastAsia="Times New Roman" w:hAnsi="Arial Narrow"/>
          <w:color w:val="000000" w:themeColor="text1"/>
          <w:sz w:val="22"/>
          <w:szCs w:val="22"/>
        </w:rPr>
        <w:t xml:space="preserve">el acceso al uso del espectro radioeléctrico requiere permiso previo, expreso y otorgado por el Ministerio de Tecnologías de la Información y las Comunicaciones.  Así mismo, en sus </w:t>
      </w:r>
      <w:r w:rsidRPr="006A0F11">
        <w:rPr>
          <w:rFonts w:ascii="Arial Narrow" w:eastAsia="Times New Roman" w:hAnsi="Arial Narrow"/>
          <w:color w:val="000000" w:themeColor="text1"/>
          <w:sz w:val="22"/>
          <w:szCs w:val="22"/>
          <w:lang w:val="es-ES_tradnl"/>
        </w:rPr>
        <w:t>artículos 17 numeral 4 y 18 numeral 19 literal c, dispone</w:t>
      </w:r>
      <w:r w:rsidRPr="006A0F11">
        <w:rPr>
          <w:rFonts w:ascii="Arial Narrow" w:eastAsia="Times New Roman" w:hAnsi="Arial Narrow"/>
          <w:color w:val="000000" w:themeColor="text1"/>
          <w:sz w:val="22"/>
          <w:szCs w:val="22"/>
        </w:rPr>
        <w:t xml:space="preserve"> que es objetivo y función de esta Entidad, entre otros, </w:t>
      </w:r>
      <w:r w:rsidRPr="006A0F11">
        <w:rPr>
          <w:rFonts w:ascii="Arial Narrow" w:eastAsia="Times New Roman" w:hAnsi="Arial Narrow"/>
          <w:color w:val="000000" w:themeColor="text1"/>
          <w:sz w:val="22"/>
          <w:szCs w:val="22"/>
          <w:lang w:val="es-ES_tradnl"/>
        </w:rPr>
        <w:t>definir la política y ejercer la gestión y administración del espectro radioeléctrico, así como expedir los reglamentos, condiciones y requisitos tendientes al otorgamiento de licencias, permisos y registros para el uso o explotación de los derechos del Estado sobre el espectro radioeléctrico y los servicios del sector de las TIC.</w:t>
      </w:r>
    </w:p>
    <w:p w14:paraId="0886ED71" w14:textId="77777777" w:rsidR="006A0F11" w:rsidRPr="006A0F11" w:rsidRDefault="006A0F11" w:rsidP="006A0F11">
      <w:pPr>
        <w:jc w:val="both"/>
        <w:rPr>
          <w:rFonts w:ascii="Arial Narrow" w:eastAsia="Times New Roman" w:hAnsi="Arial Narrow"/>
          <w:color w:val="000000" w:themeColor="text1"/>
          <w:sz w:val="22"/>
          <w:szCs w:val="22"/>
        </w:rPr>
      </w:pPr>
    </w:p>
    <w:p w14:paraId="3B4FB4C9" w14:textId="222A53AC" w:rsidR="006A0F11" w:rsidRPr="006A0F11" w:rsidRDefault="006A0F11" w:rsidP="006A0F11">
      <w:pPr>
        <w:jc w:val="both"/>
        <w:rPr>
          <w:rFonts w:ascii="Arial Narrow" w:eastAsia="Times New Roman" w:hAnsi="Arial Narrow"/>
          <w:color w:val="000000" w:themeColor="text1"/>
          <w:sz w:val="22"/>
          <w:szCs w:val="22"/>
          <w:lang w:val="es-ES_tradnl"/>
        </w:rPr>
      </w:pPr>
      <w:r>
        <w:rPr>
          <w:rFonts w:ascii="Arial Narrow" w:eastAsia="Times New Roman" w:hAnsi="Arial Narrow"/>
          <w:color w:val="000000" w:themeColor="text1"/>
          <w:sz w:val="22"/>
          <w:szCs w:val="22"/>
          <w:lang w:val="es-ES_tradnl"/>
        </w:rPr>
        <w:t xml:space="preserve">Por otra parte, </w:t>
      </w:r>
      <w:r w:rsidRPr="006A0F11">
        <w:rPr>
          <w:rFonts w:ascii="Arial Narrow" w:eastAsia="Times New Roman" w:hAnsi="Arial Narrow"/>
          <w:color w:val="000000" w:themeColor="text1"/>
          <w:sz w:val="22"/>
          <w:szCs w:val="22"/>
          <w:lang w:val="es-ES_tradnl"/>
        </w:rPr>
        <w:t>el inciso 1° del artículo 2° del Decreto 260 de 2004 establece que la Unidad Administrativa Especial de Aeronáutica Civil - Aerocivil es la autoridad en materia aeronáutica en todo el territorio nacional y le compete regular, administrar, vigilar y controlar el uso del espacio aéreo colombiano por parte de la aviación civil, así como coordinar las relaciones de ésta con la aviación del Estado, desarrollando las políticas, estrategias, planes, programas y proyectos sobre la materia, contribuyendo de esta manera al mantenimiento de la seguridad y soberanía nacionales.</w:t>
      </w:r>
    </w:p>
    <w:p w14:paraId="7BD7475A" w14:textId="77777777" w:rsidR="006A0F11" w:rsidRPr="006A0F11" w:rsidRDefault="006A0F11" w:rsidP="006A0F11">
      <w:pPr>
        <w:jc w:val="both"/>
        <w:rPr>
          <w:rFonts w:ascii="Arial Narrow" w:eastAsia="Times New Roman" w:hAnsi="Arial Narrow"/>
          <w:color w:val="000000" w:themeColor="text1"/>
          <w:sz w:val="22"/>
          <w:szCs w:val="22"/>
          <w:lang w:val="es-ES_tradnl"/>
        </w:rPr>
      </w:pPr>
    </w:p>
    <w:p w14:paraId="28B6E193" w14:textId="374933C3" w:rsidR="006A0F11" w:rsidRPr="006A0F11" w:rsidRDefault="006A0F11" w:rsidP="006A0F11">
      <w:pPr>
        <w:jc w:val="both"/>
        <w:rPr>
          <w:rFonts w:ascii="Arial Narrow" w:eastAsia="Times New Roman" w:hAnsi="Arial Narrow"/>
          <w:color w:val="000000" w:themeColor="text1"/>
          <w:sz w:val="22"/>
          <w:szCs w:val="22"/>
          <w:lang w:val="es-ES_tradnl"/>
        </w:rPr>
      </w:pPr>
      <w:r>
        <w:rPr>
          <w:rFonts w:ascii="Arial Narrow" w:eastAsia="Times New Roman" w:hAnsi="Arial Narrow"/>
          <w:color w:val="000000" w:themeColor="text1"/>
          <w:sz w:val="22"/>
          <w:szCs w:val="22"/>
          <w:lang w:val="es-ES_tradnl"/>
        </w:rPr>
        <w:t xml:space="preserve">Así mismo, </w:t>
      </w:r>
      <w:r w:rsidRPr="006A0F11">
        <w:rPr>
          <w:rFonts w:ascii="Arial Narrow" w:eastAsia="Times New Roman" w:hAnsi="Arial Narrow"/>
          <w:color w:val="000000" w:themeColor="text1"/>
          <w:sz w:val="22"/>
          <w:szCs w:val="22"/>
          <w:lang w:val="es-ES_tradnl"/>
        </w:rPr>
        <w:t xml:space="preserve">el Decreto 1078 de 2015, “Decreto Único Reglamentario del sector TIC”, reglamenta en el capítulo 1 del título 2 de la parte 2 del libro 2 la selección objetiva y la asignación directa de permisos para uso del espectro radioeléctrico por continuidad del servicio de que tratan los artículos 11 y 72 de la Ley 1341 de 2009, y en especial  en su artículo 2.2.2.1.2.4 exceptúa del procedimiento de selección objetiva el otorgamiento de permisos para el uso de frecuencias o canales radioeléctricos que el Ministerio de Tecnologías y de las Comunicaciones estime necesario reservar para la provisión de redes y servicios de telecomunicaciones con fines estratégicos para la defensa nacional, atención y prevención de situaciones de emergencia y seguridad pública, así como el otorgamiento de permisos temporales para la realización de pruebas técnicas y homologación de equipos. </w:t>
      </w:r>
      <w:r>
        <w:rPr>
          <w:rFonts w:ascii="Arial Narrow" w:eastAsia="Times New Roman" w:hAnsi="Arial Narrow"/>
          <w:color w:val="000000" w:themeColor="text1"/>
          <w:sz w:val="22"/>
          <w:szCs w:val="22"/>
          <w:lang w:val="es-ES_tradnl"/>
        </w:rPr>
        <w:t xml:space="preserve"> </w:t>
      </w:r>
      <w:r w:rsidRPr="006A0F11">
        <w:rPr>
          <w:rFonts w:ascii="Arial Narrow" w:eastAsia="Times New Roman" w:hAnsi="Arial Narrow"/>
          <w:color w:val="000000" w:themeColor="text1"/>
          <w:sz w:val="22"/>
          <w:szCs w:val="22"/>
          <w:lang w:val="es-ES_tradnl"/>
        </w:rPr>
        <w:t>Y, el artículo 2.2.2.1.2.5 ibidem dispone que el Ministerio de Tecnologías de la Información y las Comunicaciones, a solicitud de parte, asignará directamente distintivos de llamada para estaciones que hagan uso común y compartido de espectro en bandas atribuidas nacional e internacionalmente, entre otros, a las radiocomunicaciones marítimas, aeronáuticas, segmento satelital y de radioaficionados, de conformidad con las normas y trámites establecidos para el efecto, uso que conlleva el pago de las contraprestaciones señaladas en el acto administrativo que otorgue el permiso.</w:t>
      </w:r>
    </w:p>
    <w:p w14:paraId="0AF8994D" w14:textId="77777777" w:rsidR="006A0F11" w:rsidRPr="006A0F11" w:rsidRDefault="006A0F11" w:rsidP="006A0F11">
      <w:pPr>
        <w:jc w:val="both"/>
        <w:rPr>
          <w:rFonts w:ascii="Arial Narrow" w:eastAsia="Times New Roman" w:hAnsi="Arial Narrow"/>
          <w:color w:val="000000" w:themeColor="text1"/>
          <w:sz w:val="22"/>
          <w:szCs w:val="22"/>
          <w:lang w:val="es-ES_tradnl"/>
        </w:rPr>
      </w:pPr>
    </w:p>
    <w:p w14:paraId="44161581" w14:textId="4164E2F6" w:rsidR="006A0F11" w:rsidRPr="006A0F11" w:rsidRDefault="006A0F11" w:rsidP="006A0F11">
      <w:pPr>
        <w:jc w:val="both"/>
        <w:rPr>
          <w:rFonts w:ascii="Arial Narrow" w:eastAsia="Times New Roman" w:hAnsi="Arial Narrow"/>
          <w:color w:val="000000" w:themeColor="text1"/>
          <w:sz w:val="22"/>
          <w:szCs w:val="22"/>
          <w:lang w:val="es-ES_tradnl"/>
        </w:rPr>
      </w:pPr>
      <w:r>
        <w:rPr>
          <w:rFonts w:ascii="Arial Narrow" w:eastAsia="Times New Roman" w:hAnsi="Arial Narrow"/>
          <w:color w:val="000000" w:themeColor="text1"/>
          <w:sz w:val="22"/>
          <w:szCs w:val="22"/>
          <w:lang w:val="es-ES_tradnl"/>
        </w:rPr>
        <w:t>L</w:t>
      </w:r>
      <w:r w:rsidRPr="006A0F11">
        <w:rPr>
          <w:rFonts w:ascii="Arial Narrow" w:eastAsia="Times New Roman" w:hAnsi="Arial Narrow"/>
          <w:color w:val="000000" w:themeColor="text1"/>
          <w:sz w:val="22"/>
          <w:szCs w:val="22"/>
          <w:lang w:val="es-ES_tradnl"/>
        </w:rPr>
        <w:t xml:space="preserve">a Resolución MINTIC 2118 del 15 de septiembre de 2011, modificada por la Resolución MINTIC 1588 de 2012, dispuso las condiciones, los requisitos y el trámite para otorgar permisos para el uso de espectro radioeléctrico, </w:t>
      </w:r>
      <w:r w:rsidRPr="006A0F11">
        <w:rPr>
          <w:rFonts w:ascii="Arial Narrow" w:eastAsia="Times New Roman" w:hAnsi="Arial Narrow"/>
          <w:color w:val="000000" w:themeColor="text1"/>
          <w:sz w:val="22"/>
          <w:szCs w:val="22"/>
          <w:lang w:val="es-ES_tradnl"/>
        </w:rPr>
        <w:lastRenderedPageBreak/>
        <w:t>exceptuando las bandas de frecuencias atribuidas o identificadas para la operación y prestación de los servicios IMT y de radiodifusión sonora, de conformidad con el artículo 2.2.2.1.1.3 del Decreto 1078 de 2015, en consonancia con lo dispuesto en la Sentencia C-403 de 2010.</w:t>
      </w:r>
    </w:p>
    <w:p w14:paraId="1E43CAD6" w14:textId="77777777" w:rsidR="006A0F11" w:rsidRPr="006A0F11" w:rsidRDefault="006A0F11" w:rsidP="006A0F11">
      <w:pPr>
        <w:jc w:val="both"/>
        <w:rPr>
          <w:rFonts w:ascii="Arial Narrow" w:eastAsia="Times New Roman" w:hAnsi="Arial Narrow"/>
          <w:color w:val="000000" w:themeColor="text1"/>
          <w:sz w:val="22"/>
          <w:szCs w:val="22"/>
          <w:lang w:val="es-ES_tradnl"/>
        </w:rPr>
      </w:pPr>
    </w:p>
    <w:p w14:paraId="32C08CF0" w14:textId="30DA958E" w:rsidR="006A0F11" w:rsidRPr="006A0F11" w:rsidRDefault="006A0F11" w:rsidP="006A0F11">
      <w:pPr>
        <w:jc w:val="both"/>
        <w:rPr>
          <w:rFonts w:ascii="Arial Narrow" w:eastAsia="Times New Roman" w:hAnsi="Arial Narrow"/>
          <w:color w:val="000000" w:themeColor="text1"/>
          <w:sz w:val="22"/>
          <w:szCs w:val="22"/>
        </w:rPr>
      </w:pPr>
      <w:r>
        <w:rPr>
          <w:rFonts w:ascii="Arial Narrow" w:eastAsia="Times New Roman" w:hAnsi="Arial Narrow"/>
          <w:color w:val="000000" w:themeColor="text1"/>
          <w:sz w:val="22"/>
          <w:szCs w:val="22"/>
        </w:rPr>
        <w:t>La</w:t>
      </w:r>
      <w:r w:rsidRPr="006A0F11">
        <w:rPr>
          <w:rFonts w:ascii="Arial Narrow" w:eastAsia="Times New Roman" w:hAnsi="Arial Narrow"/>
          <w:color w:val="000000" w:themeColor="text1"/>
          <w:sz w:val="22"/>
          <w:szCs w:val="22"/>
        </w:rPr>
        <w:t xml:space="preserve"> racionalización y simplificación del ordenamiento jurídico es una de las principales herramientas para asegurar la eficiencia económica y social del sistema legal y para afianzar la seguridad jurídica. </w:t>
      </w:r>
    </w:p>
    <w:p w14:paraId="1FEB9DAB" w14:textId="77777777" w:rsidR="006A0F11" w:rsidRPr="006A0F11" w:rsidRDefault="006A0F11" w:rsidP="006A0F11">
      <w:pPr>
        <w:jc w:val="both"/>
        <w:rPr>
          <w:rFonts w:ascii="Arial Narrow" w:eastAsia="Times New Roman" w:hAnsi="Arial Narrow"/>
          <w:color w:val="000000" w:themeColor="text1"/>
          <w:sz w:val="22"/>
          <w:szCs w:val="22"/>
        </w:rPr>
      </w:pPr>
    </w:p>
    <w:p w14:paraId="2D0C71BA" w14:textId="32F2607E" w:rsidR="006A0F11" w:rsidRPr="006A0F11" w:rsidRDefault="006A0F11" w:rsidP="006A0F11">
      <w:pPr>
        <w:jc w:val="both"/>
        <w:rPr>
          <w:rFonts w:ascii="Arial Narrow" w:eastAsia="Times New Roman" w:hAnsi="Arial Narrow"/>
          <w:color w:val="000000" w:themeColor="text1"/>
          <w:sz w:val="22"/>
          <w:szCs w:val="22"/>
        </w:rPr>
      </w:pPr>
      <w:r>
        <w:rPr>
          <w:rFonts w:ascii="Arial Narrow" w:eastAsia="Times New Roman" w:hAnsi="Arial Narrow"/>
          <w:color w:val="000000" w:themeColor="text1"/>
          <w:sz w:val="22"/>
          <w:szCs w:val="22"/>
        </w:rPr>
        <w:t>M</w:t>
      </w:r>
      <w:r w:rsidRPr="006A0F11">
        <w:rPr>
          <w:rFonts w:ascii="Arial Narrow" w:eastAsia="Times New Roman" w:hAnsi="Arial Narrow"/>
          <w:color w:val="000000" w:themeColor="text1"/>
          <w:sz w:val="22"/>
          <w:szCs w:val="22"/>
        </w:rPr>
        <w:t xml:space="preserve">ediante la Resolución </w:t>
      </w:r>
      <w:r w:rsidRPr="006A0F11">
        <w:rPr>
          <w:rFonts w:ascii="Arial Narrow" w:eastAsia="Times New Roman" w:hAnsi="Arial Narrow"/>
          <w:color w:val="FF0000"/>
          <w:sz w:val="22"/>
          <w:szCs w:val="22"/>
        </w:rPr>
        <w:t>No. XX de xx de xx de</w:t>
      </w:r>
      <w:r w:rsidRPr="006A0F11">
        <w:rPr>
          <w:rFonts w:ascii="Arial Narrow" w:eastAsia="Times New Roman" w:hAnsi="Arial Narrow"/>
          <w:color w:val="000000" w:themeColor="text1"/>
          <w:sz w:val="22"/>
          <w:szCs w:val="22"/>
        </w:rPr>
        <w:t xml:space="preserve"> </w:t>
      </w:r>
      <w:r w:rsidRPr="00687A28">
        <w:rPr>
          <w:rFonts w:ascii="Arial Narrow" w:eastAsia="Times New Roman" w:hAnsi="Arial Narrow"/>
          <w:color w:val="FF0000"/>
          <w:sz w:val="22"/>
          <w:szCs w:val="22"/>
        </w:rPr>
        <w:t>201</w:t>
      </w:r>
      <w:r w:rsidR="00687A28" w:rsidRPr="00687A28">
        <w:rPr>
          <w:rFonts w:ascii="Arial Narrow" w:eastAsia="Times New Roman" w:hAnsi="Arial Narrow"/>
          <w:color w:val="FF0000"/>
          <w:sz w:val="22"/>
          <w:szCs w:val="22"/>
        </w:rPr>
        <w:t>X</w:t>
      </w:r>
      <w:r w:rsidRPr="006A0F11">
        <w:rPr>
          <w:rFonts w:ascii="Arial Narrow" w:eastAsia="Times New Roman" w:hAnsi="Arial Narrow"/>
          <w:color w:val="000000" w:themeColor="text1"/>
          <w:sz w:val="22"/>
          <w:szCs w:val="22"/>
        </w:rPr>
        <w:t xml:space="preserve">, se derogan las Resoluciones 2472 de 1991, 407 de 1995, 5273 de 1997, 1512 de 2001, 152 de 2002, 1704 de 2002, 1966 de 2002, 526 de 2002, 908 de 2003, 1201 de </w:t>
      </w:r>
      <w:r w:rsidRPr="00200FCD">
        <w:rPr>
          <w:rFonts w:ascii="Arial Narrow" w:eastAsia="Times New Roman" w:hAnsi="Arial Narrow"/>
          <w:color w:val="000000" w:themeColor="text1"/>
          <w:sz w:val="22"/>
          <w:szCs w:val="22"/>
        </w:rPr>
        <w:t xml:space="preserve">2004, </w:t>
      </w:r>
      <w:bookmarkStart w:id="1" w:name="_Hlk534188223"/>
      <w:r w:rsidRPr="00200FCD">
        <w:rPr>
          <w:rFonts w:ascii="Arial Narrow" w:eastAsia="Times New Roman" w:hAnsi="Arial Narrow"/>
          <w:color w:val="000000" w:themeColor="text1"/>
          <w:sz w:val="22"/>
          <w:szCs w:val="22"/>
        </w:rPr>
        <w:t xml:space="preserve">1765 de 2004, </w:t>
      </w:r>
      <w:bookmarkEnd w:id="1"/>
      <w:r w:rsidRPr="00200FCD">
        <w:rPr>
          <w:rFonts w:ascii="Arial Narrow" w:eastAsia="Times New Roman" w:hAnsi="Arial Narrow"/>
          <w:color w:val="000000" w:themeColor="text1"/>
          <w:sz w:val="22"/>
          <w:szCs w:val="22"/>
        </w:rPr>
        <w:t>2579 de 2004, 1713 de 2004, 2064 de 2005, 2359 de 2005, 2070 de 2005, 1449 de 2006,</w:t>
      </w:r>
      <w:r w:rsidRPr="006A0F11">
        <w:rPr>
          <w:rFonts w:ascii="Arial Narrow" w:eastAsia="Times New Roman" w:hAnsi="Arial Narrow"/>
          <w:color w:val="000000" w:themeColor="text1"/>
          <w:sz w:val="22"/>
          <w:szCs w:val="22"/>
        </w:rPr>
        <w:t xml:space="preserve"> 1661 de 2006,1671 de 2006, 332 de 2007, 1715 de 2007, 2218 de 2007, 2623 de 2009, 909 de 2009,1227 de 2009 y 1438 de 2010, expedidas por el Ministerio de Tecnologías de la Información y las Comunicaciones, todas atinentes a la gestión del espectro radioeléctrico.</w:t>
      </w:r>
    </w:p>
    <w:p w14:paraId="5173C6C9" w14:textId="77777777" w:rsidR="006A0F11" w:rsidRPr="006A0F11" w:rsidRDefault="006A0F11" w:rsidP="006A0F11">
      <w:pPr>
        <w:jc w:val="both"/>
        <w:rPr>
          <w:rFonts w:ascii="Arial Narrow" w:eastAsia="Times New Roman" w:hAnsi="Arial Narrow"/>
          <w:color w:val="000000" w:themeColor="text1"/>
          <w:sz w:val="22"/>
          <w:szCs w:val="22"/>
        </w:rPr>
      </w:pPr>
    </w:p>
    <w:p w14:paraId="619DDB2B" w14:textId="662C1812" w:rsidR="006A0F11" w:rsidRPr="006A0F11" w:rsidRDefault="006A0F11" w:rsidP="006A0F11">
      <w:pPr>
        <w:jc w:val="both"/>
        <w:rPr>
          <w:rFonts w:ascii="Arial Narrow" w:eastAsia="Times New Roman" w:hAnsi="Arial Narrow"/>
          <w:color w:val="000000" w:themeColor="text1"/>
          <w:sz w:val="22"/>
          <w:szCs w:val="22"/>
        </w:rPr>
      </w:pPr>
      <w:r>
        <w:rPr>
          <w:rFonts w:ascii="Arial Narrow" w:eastAsia="Times New Roman" w:hAnsi="Arial Narrow"/>
          <w:color w:val="000000" w:themeColor="text1"/>
          <w:sz w:val="22"/>
          <w:szCs w:val="22"/>
        </w:rPr>
        <w:t>C</w:t>
      </w:r>
      <w:r w:rsidRPr="006A0F11">
        <w:rPr>
          <w:rFonts w:ascii="Arial Narrow" w:eastAsia="Times New Roman" w:hAnsi="Arial Narrow"/>
          <w:color w:val="000000" w:themeColor="text1"/>
          <w:sz w:val="22"/>
          <w:szCs w:val="22"/>
        </w:rPr>
        <w:t>omo consecuencia de los anteriores cambios normativos, es necesario expedir un nuevo marco jurídico en materia de gestión del espectro radioeléctrico, cuya competencia radica en este Ministerio.</w:t>
      </w:r>
    </w:p>
    <w:p w14:paraId="6908EEB2" w14:textId="6BAB56A1" w:rsidR="00245FD1" w:rsidRDefault="00245FD1" w:rsidP="00245FD1">
      <w:pPr>
        <w:jc w:val="both"/>
        <w:rPr>
          <w:rFonts w:ascii="Arial Narrow" w:eastAsia="Times New Roman" w:hAnsi="Arial Narrow"/>
          <w:color w:val="000000" w:themeColor="text1"/>
          <w:sz w:val="22"/>
          <w:szCs w:val="22"/>
        </w:rPr>
      </w:pPr>
    </w:p>
    <w:p w14:paraId="27275C98" w14:textId="77777777" w:rsidR="00812E11" w:rsidRPr="00245FD1" w:rsidRDefault="00812E11" w:rsidP="00245FD1">
      <w:pPr>
        <w:jc w:val="both"/>
        <w:rPr>
          <w:rFonts w:ascii="Arial Narrow" w:eastAsia="Times New Roman" w:hAnsi="Arial Narrow"/>
          <w:color w:val="000000" w:themeColor="text1"/>
          <w:sz w:val="22"/>
          <w:szCs w:val="22"/>
        </w:rPr>
      </w:pPr>
    </w:p>
    <w:p w14:paraId="5890024B" w14:textId="77777777" w:rsidR="00584CD6" w:rsidRPr="00CD3187" w:rsidRDefault="00584CD6" w:rsidP="00584CD6">
      <w:pPr>
        <w:jc w:val="both"/>
        <w:rPr>
          <w:rFonts w:ascii="Arial Narrow" w:hAnsi="Arial Narrow" w:cs="Arial"/>
          <w:b/>
          <w:sz w:val="22"/>
          <w:szCs w:val="22"/>
          <w:lang w:val="es-ES_tradnl"/>
        </w:rPr>
      </w:pPr>
      <w:r w:rsidRPr="00CD3187">
        <w:rPr>
          <w:rFonts w:ascii="Arial Narrow" w:hAnsi="Arial Narrow" w:cs="Arial"/>
          <w:b/>
          <w:sz w:val="22"/>
          <w:szCs w:val="22"/>
          <w:lang w:val="es-ES_tradnl"/>
        </w:rPr>
        <w:t>2.</w:t>
      </w:r>
      <w:r w:rsidRPr="00CD3187">
        <w:rPr>
          <w:rFonts w:ascii="Arial Narrow" w:hAnsi="Arial Narrow" w:cs="Arial"/>
          <w:b/>
          <w:sz w:val="22"/>
          <w:szCs w:val="22"/>
          <w:lang w:val="es-ES_tradnl"/>
        </w:rPr>
        <w:tab/>
        <w:t>Ámbito de aplicación del acto administrativo</w:t>
      </w:r>
    </w:p>
    <w:p w14:paraId="27B4C95F" w14:textId="4D018951" w:rsidR="00584CD6" w:rsidRDefault="00584CD6" w:rsidP="00584CD6">
      <w:pPr>
        <w:jc w:val="both"/>
        <w:rPr>
          <w:rFonts w:ascii="Arial Narrow" w:hAnsi="Arial Narrow" w:cs="Arial"/>
          <w:sz w:val="22"/>
          <w:szCs w:val="22"/>
          <w:lang w:val="es-ES_tradnl"/>
        </w:rPr>
      </w:pPr>
    </w:p>
    <w:p w14:paraId="4EFDBE38" w14:textId="77777777" w:rsidR="00812E11" w:rsidRPr="00CD3187" w:rsidRDefault="00812E11" w:rsidP="00584CD6">
      <w:pPr>
        <w:jc w:val="both"/>
        <w:rPr>
          <w:rFonts w:ascii="Arial Narrow" w:hAnsi="Arial Narrow" w:cs="Arial"/>
          <w:sz w:val="22"/>
          <w:szCs w:val="22"/>
          <w:lang w:val="es-ES_tradnl"/>
        </w:rPr>
      </w:pPr>
    </w:p>
    <w:p w14:paraId="5D9DF7FC" w14:textId="0CE3AE7A" w:rsidR="008A4F42" w:rsidRPr="00CD3187" w:rsidRDefault="009454D8" w:rsidP="008A4F42">
      <w:pPr>
        <w:jc w:val="both"/>
        <w:rPr>
          <w:rFonts w:ascii="Arial Narrow" w:hAnsi="Arial Narrow" w:cs="Arial"/>
          <w:sz w:val="22"/>
          <w:szCs w:val="22"/>
          <w:lang w:val="es-ES_tradnl"/>
        </w:rPr>
      </w:pPr>
      <w:r>
        <w:rPr>
          <w:rFonts w:ascii="Arial Narrow" w:hAnsi="Arial Narrow" w:cs="Arial"/>
          <w:sz w:val="22"/>
          <w:szCs w:val="22"/>
        </w:rPr>
        <w:t>Los actos administrativos que se pretenden derogar aplican a todos los proveedores de redes y servicios de telecomunicaciones</w:t>
      </w:r>
      <w:r w:rsidR="00D16D01">
        <w:rPr>
          <w:rFonts w:ascii="Arial Narrow" w:hAnsi="Arial Narrow" w:cs="Arial"/>
          <w:sz w:val="22"/>
          <w:szCs w:val="22"/>
        </w:rPr>
        <w:t xml:space="preserve"> y usuarios del </w:t>
      </w:r>
      <w:r w:rsidR="00D16D01" w:rsidRPr="00D16D01">
        <w:rPr>
          <w:rFonts w:ascii="Arial Narrow" w:hAnsi="Arial Narrow" w:cs="Arial"/>
          <w:sz w:val="22"/>
          <w:szCs w:val="22"/>
        </w:rPr>
        <w:t>espectro radioeléctrico</w:t>
      </w:r>
      <w:r>
        <w:rPr>
          <w:rFonts w:ascii="Arial Narrow" w:hAnsi="Arial Narrow" w:cs="Arial"/>
          <w:sz w:val="22"/>
          <w:szCs w:val="22"/>
        </w:rPr>
        <w:t>.</w:t>
      </w:r>
    </w:p>
    <w:p w14:paraId="697C3C25" w14:textId="04DDA9EB" w:rsidR="008A4F42" w:rsidRDefault="008A4F42" w:rsidP="00584CD6">
      <w:pPr>
        <w:jc w:val="both"/>
        <w:rPr>
          <w:rFonts w:ascii="Arial Narrow" w:hAnsi="Arial Narrow" w:cs="Arial"/>
          <w:sz w:val="22"/>
          <w:szCs w:val="22"/>
          <w:lang w:val="es-ES_tradnl"/>
        </w:rPr>
      </w:pPr>
    </w:p>
    <w:p w14:paraId="46CC522B" w14:textId="77777777" w:rsidR="00812E11" w:rsidRPr="00CD3187" w:rsidRDefault="00812E11" w:rsidP="00584CD6">
      <w:pPr>
        <w:jc w:val="both"/>
        <w:rPr>
          <w:rFonts w:ascii="Arial Narrow" w:hAnsi="Arial Narrow" w:cs="Arial"/>
          <w:sz w:val="22"/>
          <w:szCs w:val="22"/>
          <w:lang w:val="es-ES_tradnl"/>
        </w:rPr>
      </w:pPr>
    </w:p>
    <w:p w14:paraId="5E1C34A7" w14:textId="77777777" w:rsidR="00584CD6" w:rsidRPr="00CD3187" w:rsidRDefault="00584CD6" w:rsidP="00584CD6">
      <w:pPr>
        <w:jc w:val="both"/>
        <w:rPr>
          <w:rFonts w:ascii="Arial Narrow" w:hAnsi="Arial Narrow" w:cs="Arial"/>
          <w:b/>
          <w:sz w:val="22"/>
          <w:szCs w:val="22"/>
          <w:lang w:val="es-ES_tradnl"/>
        </w:rPr>
      </w:pPr>
      <w:r w:rsidRPr="00CD3187">
        <w:rPr>
          <w:rFonts w:ascii="Arial Narrow" w:hAnsi="Arial Narrow" w:cs="Arial"/>
          <w:b/>
          <w:sz w:val="22"/>
          <w:szCs w:val="22"/>
          <w:lang w:val="es-ES_tradnl"/>
        </w:rPr>
        <w:t>3.</w:t>
      </w:r>
      <w:r w:rsidRPr="00CD3187">
        <w:rPr>
          <w:rFonts w:ascii="Arial Narrow" w:hAnsi="Arial Narrow" w:cs="Arial"/>
          <w:b/>
          <w:sz w:val="22"/>
          <w:szCs w:val="22"/>
          <w:lang w:val="es-ES_tradnl"/>
        </w:rPr>
        <w:tab/>
        <w:t xml:space="preserve">Estudio preliminar de viabilidad jurídica de la expedición de la norma </w:t>
      </w:r>
    </w:p>
    <w:p w14:paraId="7B1CC301" w14:textId="4B3DD29A" w:rsidR="00584CD6" w:rsidRDefault="00584CD6" w:rsidP="00584CD6">
      <w:pPr>
        <w:jc w:val="both"/>
        <w:rPr>
          <w:rFonts w:ascii="Arial Narrow" w:hAnsi="Arial Narrow" w:cs="Arial"/>
          <w:sz w:val="22"/>
          <w:szCs w:val="22"/>
          <w:lang w:val="es-ES_tradnl"/>
        </w:rPr>
      </w:pPr>
    </w:p>
    <w:p w14:paraId="1DC53C6F" w14:textId="77777777" w:rsidR="00812E11" w:rsidRPr="00CD3187" w:rsidRDefault="00812E11" w:rsidP="00584CD6">
      <w:pPr>
        <w:jc w:val="both"/>
        <w:rPr>
          <w:rFonts w:ascii="Arial Narrow" w:hAnsi="Arial Narrow" w:cs="Arial"/>
          <w:sz w:val="22"/>
          <w:szCs w:val="22"/>
          <w:lang w:val="es-ES_tradnl"/>
        </w:rPr>
      </w:pPr>
    </w:p>
    <w:p w14:paraId="1972037D" w14:textId="77777777" w:rsidR="00584CD6" w:rsidRPr="00CD3187" w:rsidRDefault="00584CD6" w:rsidP="00584CD6">
      <w:pPr>
        <w:widowControl w:val="0"/>
        <w:autoSpaceDE w:val="0"/>
        <w:autoSpaceDN w:val="0"/>
        <w:adjustRightInd w:val="0"/>
        <w:ind w:left="705" w:hanging="705"/>
        <w:contextualSpacing/>
        <w:jc w:val="both"/>
        <w:rPr>
          <w:rFonts w:ascii="Arial Narrow" w:hAnsi="Arial Narrow" w:cs="Arial"/>
          <w:sz w:val="22"/>
          <w:szCs w:val="22"/>
        </w:rPr>
      </w:pPr>
      <w:r w:rsidRPr="00CD3187">
        <w:rPr>
          <w:rFonts w:ascii="Arial Narrow" w:hAnsi="Arial Narrow" w:cs="Arial"/>
          <w:b/>
          <w:sz w:val="22"/>
          <w:szCs w:val="22"/>
        </w:rPr>
        <w:t>3.1.</w:t>
      </w:r>
      <w:r w:rsidRPr="00CD3187">
        <w:rPr>
          <w:rFonts w:ascii="Arial Narrow" w:hAnsi="Arial Narrow" w:cs="Arial"/>
          <w:b/>
          <w:sz w:val="22"/>
          <w:szCs w:val="22"/>
        </w:rPr>
        <w:tab/>
      </w:r>
      <w:r w:rsidRPr="00CD3187">
        <w:rPr>
          <w:rFonts w:ascii="Arial Narrow" w:hAnsi="Arial Narrow" w:cs="Arial"/>
          <w:sz w:val="22"/>
          <w:szCs w:val="22"/>
        </w:rPr>
        <w:t xml:space="preserve">Análisis expreso y detallado de las normas que otorgan competencia para la expedición del </w:t>
      </w:r>
      <w:r w:rsidRPr="00CD3187">
        <w:rPr>
          <w:rFonts w:ascii="Arial Narrow" w:hAnsi="Arial Narrow" w:cs="Arial"/>
          <w:sz w:val="22"/>
          <w:szCs w:val="22"/>
          <w:lang w:val="es-ES_tradnl"/>
        </w:rPr>
        <w:t>acto administrativo:</w:t>
      </w:r>
    </w:p>
    <w:p w14:paraId="45FC8B48" w14:textId="77777777" w:rsidR="008A4F42" w:rsidRPr="00CD3187" w:rsidRDefault="008A4F42" w:rsidP="00584CD6">
      <w:pPr>
        <w:widowControl w:val="0"/>
        <w:autoSpaceDE w:val="0"/>
        <w:autoSpaceDN w:val="0"/>
        <w:adjustRightInd w:val="0"/>
        <w:contextualSpacing/>
        <w:jc w:val="both"/>
        <w:rPr>
          <w:rFonts w:ascii="Arial Narrow" w:hAnsi="Arial Narrow" w:cs="Arial"/>
          <w:b/>
          <w:sz w:val="22"/>
          <w:szCs w:val="22"/>
        </w:rPr>
      </w:pPr>
    </w:p>
    <w:p w14:paraId="6A97FA9C" w14:textId="77777777" w:rsidR="003F2E76" w:rsidRPr="00CD3187" w:rsidRDefault="003F2E76" w:rsidP="003F2E76">
      <w:pPr>
        <w:contextualSpacing/>
        <w:jc w:val="both"/>
        <w:rPr>
          <w:rFonts w:ascii="Arial Narrow" w:hAnsi="Arial Narrow" w:cs="Arial"/>
          <w:sz w:val="22"/>
          <w:szCs w:val="22"/>
        </w:rPr>
      </w:pPr>
      <w:r w:rsidRPr="00CD3187">
        <w:rPr>
          <w:rFonts w:ascii="Arial Narrow" w:hAnsi="Arial Narrow" w:cs="Arial"/>
          <w:sz w:val="22"/>
          <w:szCs w:val="22"/>
        </w:rPr>
        <w:t>Las normas que otorgan la competencia para la expedición del acto administrativo están conte</w:t>
      </w:r>
      <w:r>
        <w:rPr>
          <w:rFonts w:ascii="Arial Narrow" w:hAnsi="Arial Narrow" w:cs="Arial"/>
          <w:sz w:val="22"/>
          <w:szCs w:val="22"/>
        </w:rPr>
        <w:t>nidas en las siguientes normas:</w:t>
      </w:r>
      <w:r w:rsidRPr="00CD3187">
        <w:rPr>
          <w:rFonts w:ascii="Arial Narrow" w:hAnsi="Arial Narrow" w:cs="Arial"/>
          <w:sz w:val="22"/>
          <w:szCs w:val="22"/>
        </w:rPr>
        <w:t xml:space="preserve"> </w:t>
      </w:r>
    </w:p>
    <w:p w14:paraId="2D704C62" w14:textId="77777777" w:rsidR="00984C2D" w:rsidRDefault="00984C2D" w:rsidP="00984C2D">
      <w:pPr>
        <w:widowControl w:val="0"/>
        <w:suppressAutoHyphens/>
        <w:autoSpaceDE w:val="0"/>
        <w:autoSpaceDN w:val="0"/>
        <w:adjustRightInd w:val="0"/>
        <w:jc w:val="both"/>
        <w:rPr>
          <w:rFonts w:ascii="Arial Narrow" w:hAnsi="Arial Narrow" w:cs="Arial"/>
          <w:sz w:val="22"/>
          <w:szCs w:val="22"/>
          <w:lang w:val="es-ES"/>
        </w:rPr>
      </w:pPr>
    </w:p>
    <w:p w14:paraId="2BABEF08" w14:textId="184BCE35" w:rsidR="003F2E76" w:rsidRPr="00CD3187" w:rsidRDefault="003F2E76" w:rsidP="00984C2D">
      <w:pPr>
        <w:widowControl w:val="0"/>
        <w:suppressAutoHyphens/>
        <w:autoSpaceDE w:val="0"/>
        <w:autoSpaceDN w:val="0"/>
        <w:adjustRightInd w:val="0"/>
        <w:jc w:val="both"/>
        <w:rPr>
          <w:rFonts w:ascii="Arial Narrow" w:hAnsi="Arial Narrow" w:cs="Tahoma"/>
          <w:sz w:val="22"/>
          <w:szCs w:val="22"/>
        </w:rPr>
      </w:pPr>
      <w:r w:rsidRPr="00CD3187">
        <w:rPr>
          <w:rFonts w:ascii="Arial Narrow" w:hAnsi="Arial Narrow" w:cs="Arial"/>
          <w:sz w:val="22"/>
          <w:szCs w:val="22"/>
          <w:lang w:val="es-ES"/>
        </w:rPr>
        <w:t>La Ley 1341 de 2009, actual marco general del sector de las Tecnologías de la Información y las Comunic</w:t>
      </w:r>
      <w:r>
        <w:rPr>
          <w:rFonts w:ascii="Arial Narrow" w:hAnsi="Arial Narrow" w:cs="Arial"/>
          <w:sz w:val="22"/>
          <w:szCs w:val="22"/>
          <w:lang w:val="es-ES"/>
        </w:rPr>
        <w:t xml:space="preserve">aciones, dispone en </w:t>
      </w:r>
      <w:r w:rsidR="00984C2D" w:rsidRPr="00984C2D">
        <w:rPr>
          <w:rFonts w:ascii="Arial Narrow" w:eastAsia="Times New Roman" w:hAnsi="Arial Narrow"/>
          <w:color w:val="000000" w:themeColor="text1"/>
          <w:sz w:val="22"/>
          <w:szCs w:val="22"/>
        </w:rPr>
        <w:t>el literal c del numeral 19 del artículo 18 de la Ley 1341 de 2009 que es función del Ministerio de Tecnologías de la Información y las Comunicaciones expedir los reglamentos, condiciones y requisitos para el otorgamiento de licencias, permisos y registros para el uso o explotación de los derechos del Estado sobre el espectro radioeléctrico y los servicios del sector de las tecnologías de la información y las comunicaciones.</w:t>
      </w:r>
      <w:r w:rsidR="00984C2D">
        <w:rPr>
          <w:rFonts w:ascii="Arial Narrow" w:eastAsia="Times New Roman" w:hAnsi="Arial Narrow"/>
          <w:color w:val="000000" w:themeColor="text1"/>
          <w:sz w:val="22"/>
          <w:szCs w:val="22"/>
        </w:rPr>
        <w:t xml:space="preserve"> Y en </w:t>
      </w:r>
      <w:r>
        <w:rPr>
          <w:rFonts w:ascii="Arial Narrow" w:hAnsi="Arial Narrow" w:cs="Arial"/>
          <w:sz w:val="22"/>
          <w:szCs w:val="22"/>
          <w:lang w:val="es-ES"/>
        </w:rPr>
        <w:t>e</w:t>
      </w:r>
      <w:r w:rsidRPr="00CD3187">
        <w:rPr>
          <w:rFonts w:ascii="Arial Narrow" w:hAnsi="Arial Narrow" w:cs="Arial"/>
          <w:bCs/>
          <w:color w:val="000000"/>
          <w:sz w:val="22"/>
          <w:szCs w:val="22"/>
        </w:rPr>
        <w:t>l inciso 2° del artículo 11 de la Ley 1341 de 2009,</w:t>
      </w:r>
      <w:r w:rsidR="00984C2D">
        <w:rPr>
          <w:rFonts w:ascii="Arial Narrow" w:hAnsi="Arial Narrow" w:cs="Arial"/>
          <w:bCs/>
          <w:color w:val="000000"/>
          <w:sz w:val="22"/>
          <w:szCs w:val="22"/>
        </w:rPr>
        <w:t xml:space="preserve"> indica </w:t>
      </w:r>
      <w:r>
        <w:rPr>
          <w:rFonts w:ascii="Arial Narrow" w:hAnsi="Arial Narrow" w:cs="Arial"/>
          <w:bCs/>
          <w:color w:val="000000"/>
          <w:sz w:val="22"/>
          <w:szCs w:val="22"/>
        </w:rPr>
        <w:t>que</w:t>
      </w:r>
      <w:r w:rsidRPr="00CD3187">
        <w:rPr>
          <w:rFonts w:ascii="Arial Narrow" w:hAnsi="Arial Narrow" w:cs="Arial"/>
          <w:bCs/>
          <w:color w:val="000000"/>
          <w:sz w:val="22"/>
          <w:szCs w:val="22"/>
        </w:rPr>
        <w:t xml:space="preserve"> "</w:t>
      </w:r>
      <w:r w:rsidRPr="003F2E76">
        <w:rPr>
          <w:rFonts w:ascii="Arial Narrow" w:hAnsi="Arial Narrow" w:cs="Arial"/>
          <w:bCs/>
          <w:i/>
          <w:color w:val="000000"/>
          <w:sz w:val="22"/>
          <w:szCs w:val="22"/>
        </w:rPr>
        <w:t xml:space="preserve">El uso del espectro radioeléctrico requiere permiso previo, expreso y otorgado por el Ministerio de Tecnologías de la Información y las Comunicaciones. El permiso de uso del espectro respetará la neutralidad en la tecnología siempre y cuando esté coordinado con las políticas del Ministerio de Tecnologías de la Información y las Comunicaciones, no generen interferencias sobre otros servicios, sean compatibles con las tendencias internacionales del mercado, </w:t>
      </w:r>
      <w:r w:rsidRPr="003F2E76">
        <w:rPr>
          <w:rFonts w:ascii="Arial Narrow" w:hAnsi="Arial Narrow" w:cs="Arial"/>
          <w:bCs/>
          <w:i/>
          <w:sz w:val="22"/>
          <w:szCs w:val="22"/>
        </w:rPr>
        <w:t>no afecten la seguridad nacional, y contribuyan al desarrollo sostenible. (...)</w:t>
      </w:r>
      <w:r w:rsidRPr="00CD3187">
        <w:rPr>
          <w:rFonts w:ascii="Arial Narrow" w:hAnsi="Arial Narrow" w:cs="Arial"/>
          <w:bCs/>
          <w:sz w:val="22"/>
          <w:szCs w:val="22"/>
        </w:rPr>
        <w:t>".</w:t>
      </w:r>
    </w:p>
    <w:p w14:paraId="43C4321A" w14:textId="77777777" w:rsidR="00984C2D" w:rsidRPr="00984C2D" w:rsidRDefault="00984C2D" w:rsidP="00984C2D">
      <w:pPr>
        <w:widowControl w:val="0"/>
        <w:suppressAutoHyphens/>
        <w:autoSpaceDE w:val="0"/>
        <w:autoSpaceDN w:val="0"/>
        <w:adjustRightInd w:val="0"/>
        <w:jc w:val="both"/>
        <w:rPr>
          <w:rFonts w:ascii="Arial Narrow" w:eastAsia="Times New Roman" w:hAnsi="Arial Narrow"/>
          <w:color w:val="000000" w:themeColor="text1"/>
          <w:sz w:val="22"/>
          <w:szCs w:val="22"/>
        </w:rPr>
      </w:pPr>
    </w:p>
    <w:p w14:paraId="58C2D9D9" w14:textId="215411AF" w:rsidR="00984C2D" w:rsidRPr="00984C2D" w:rsidRDefault="00984C2D" w:rsidP="00984C2D">
      <w:pPr>
        <w:widowControl w:val="0"/>
        <w:suppressAutoHyphens/>
        <w:autoSpaceDE w:val="0"/>
        <w:autoSpaceDN w:val="0"/>
        <w:adjustRightInd w:val="0"/>
        <w:jc w:val="both"/>
        <w:rPr>
          <w:rFonts w:ascii="Arial Narrow" w:eastAsia="Times New Roman" w:hAnsi="Arial Narrow"/>
          <w:color w:val="000000" w:themeColor="text1"/>
          <w:sz w:val="22"/>
          <w:szCs w:val="22"/>
        </w:rPr>
      </w:pPr>
      <w:r>
        <w:rPr>
          <w:rFonts w:ascii="Arial Narrow" w:eastAsia="Times New Roman" w:hAnsi="Arial Narrow"/>
          <w:color w:val="000000" w:themeColor="text1"/>
          <w:sz w:val="22"/>
          <w:szCs w:val="22"/>
        </w:rPr>
        <w:t>L</w:t>
      </w:r>
      <w:r w:rsidRPr="00984C2D">
        <w:rPr>
          <w:rFonts w:ascii="Arial Narrow" w:eastAsia="Times New Roman" w:hAnsi="Arial Narrow"/>
          <w:color w:val="000000" w:themeColor="text1"/>
          <w:sz w:val="22"/>
          <w:szCs w:val="22"/>
        </w:rPr>
        <w:t xml:space="preserve">os artículos 3° y 7° del Decreto 4169 de 2011, </w:t>
      </w:r>
      <w:r>
        <w:rPr>
          <w:rFonts w:ascii="Arial Narrow" w:eastAsia="Times New Roman" w:hAnsi="Arial Narrow"/>
          <w:color w:val="000000" w:themeColor="text1"/>
          <w:sz w:val="22"/>
          <w:szCs w:val="22"/>
        </w:rPr>
        <w:t xml:space="preserve">según los cuales </w:t>
      </w:r>
      <w:r w:rsidRPr="00984C2D">
        <w:rPr>
          <w:rFonts w:ascii="Arial Narrow" w:eastAsia="Times New Roman" w:hAnsi="Arial Narrow"/>
          <w:color w:val="000000" w:themeColor="text1"/>
          <w:sz w:val="22"/>
          <w:szCs w:val="22"/>
        </w:rPr>
        <w:t>corresponde al Ministerio de Tecnologías de la Información y las Comunicaciones otorgar los permisos para el uso del espectro radioeléctrico, así como gestionarlo, con el fin de fomentar la competencia, el pluralismo informativo y el acceso no discriminatorio, y evitar prácticas monopolísticas, sin perjuicio de las funciones que sobre los servicios de televisión estén asignadas a otras entidades.</w:t>
      </w:r>
    </w:p>
    <w:p w14:paraId="12C745C3" w14:textId="77777777" w:rsidR="00984C2D" w:rsidRDefault="00984C2D" w:rsidP="00584CD6">
      <w:pPr>
        <w:spacing w:line="276" w:lineRule="atLeast"/>
        <w:jc w:val="both"/>
        <w:rPr>
          <w:rFonts w:ascii="Arial Narrow" w:hAnsi="Arial Narrow" w:cs="Arial"/>
          <w:sz w:val="22"/>
          <w:szCs w:val="22"/>
          <w:lang w:val="es-ES"/>
        </w:rPr>
      </w:pPr>
    </w:p>
    <w:p w14:paraId="6DE0D87D" w14:textId="0E3997E4" w:rsidR="00584CD6" w:rsidRPr="00CD3187" w:rsidRDefault="00584CD6" w:rsidP="00584CD6">
      <w:pPr>
        <w:spacing w:line="276" w:lineRule="atLeast"/>
        <w:jc w:val="both"/>
        <w:rPr>
          <w:rFonts w:ascii="Arial Narrow" w:hAnsi="Arial Narrow" w:cs="Arial"/>
          <w:sz w:val="22"/>
          <w:szCs w:val="22"/>
        </w:rPr>
      </w:pPr>
      <w:r w:rsidRPr="00CD3187">
        <w:rPr>
          <w:rFonts w:ascii="Arial Narrow" w:hAnsi="Arial Narrow" w:cs="Arial"/>
          <w:b/>
          <w:sz w:val="22"/>
          <w:szCs w:val="22"/>
          <w:lang w:eastAsia="en-US"/>
        </w:rPr>
        <w:t>3.2.</w:t>
      </w:r>
      <w:r w:rsidRPr="00CD3187">
        <w:rPr>
          <w:rFonts w:ascii="Arial Narrow" w:hAnsi="Arial Narrow" w:cs="Arial"/>
          <w:b/>
          <w:sz w:val="22"/>
          <w:szCs w:val="22"/>
          <w:lang w:eastAsia="en-US"/>
        </w:rPr>
        <w:tab/>
      </w:r>
      <w:r w:rsidRPr="00CD3187">
        <w:rPr>
          <w:rFonts w:ascii="Arial Narrow" w:hAnsi="Arial Narrow" w:cs="Arial"/>
          <w:sz w:val="22"/>
          <w:szCs w:val="22"/>
          <w:lang w:eastAsia="en-US"/>
        </w:rPr>
        <w:t xml:space="preserve">Vigencia de la ley o norma reglamentada o desarrollada con el </w:t>
      </w:r>
      <w:r w:rsidRPr="00CD3187">
        <w:rPr>
          <w:rFonts w:ascii="Arial Narrow" w:hAnsi="Arial Narrow" w:cs="Arial"/>
          <w:sz w:val="22"/>
          <w:szCs w:val="22"/>
          <w:lang w:val="es-ES_tradnl"/>
        </w:rPr>
        <w:t>acto administrativo</w:t>
      </w:r>
      <w:r w:rsidRPr="00CD3187">
        <w:rPr>
          <w:rFonts w:ascii="Arial Narrow" w:hAnsi="Arial Narrow" w:cs="Arial"/>
          <w:sz w:val="22"/>
          <w:szCs w:val="22"/>
          <w:lang w:eastAsia="en-US"/>
        </w:rPr>
        <w:t>:</w:t>
      </w:r>
    </w:p>
    <w:p w14:paraId="65DE21A1" w14:textId="77777777" w:rsidR="00584CD6" w:rsidRPr="00CD3187" w:rsidRDefault="00584CD6" w:rsidP="00584CD6">
      <w:pPr>
        <w:jc w:val="both"/>
        <w:rPr>
          <w:rFonts w:ascii="Arial Narrow" w:hAnsi="Arial Narrow" w:cs="Arial"/>
          <w:sz w:val="22"/>
          <w:szCs w:val="22"/>
          <w:lang w:val="es-ES_tradnl"/>
        </w:rPr>
      </w:pPr>
    </w:p>
    <w:p w14:paraId="15BCFED3" w14:textId="7878C3DB" w:rsidR="00584CD6" w:rsidRPr="00CD3187" w:rsidRDefault="00584CD6" w:rsidP="00584CD6">
      <w:pPr>
        <w:jc w:val="both"/>
        <w:rPr>
          <w:rFonts w:ascii="Arial Narrow" w:hAnsi="Arial Narrow" w:cs="Arial"/>
          <w:sz w:val="22"/>
          <w:szCs w:val="22"/>
          <w:lang w:val="es-ES_tradnl"/>
        </w:rPr>
      </w:pPr>
      <w:r w:rsidRPr="00CD3187">
        <w:rPr>
          <w:rFonts w:ascii="Arial Narrow" w:hAnsi="Arial Narrow" w:cs="Arial"/>
          <w:sz w:val="22"/>
          <w:szCs w:val="22"/>
          <w:lang w:val="es-ES_tradnl"/>
        </w:rPr>
        <w:t xml:space="preserve">Las disposiciones de la Ley </w:t>
      </w:r>
      <w:r w:rsidR="00794520" w:rsidRPr="00CD3187">
        <w:rPr>
          <w:rFonts w:ascii="Arial Narrow" w:hAnsi="Arial Narrow" w:cs="Arial"/>
          <w:sz w:val="22"/>
          <w:szCs w:val="22"/>
          <w:lang w:val="es-ES_tradnl"/>
        </w:rPr>
        <w:t xml:space="preserve">1341 de 2009 </w:t>
      </w:r>
      <w:r w:rsidR="004653AA">
        <w:rPr>
          <w:rFonts w:ascii="Arial Narrow" w:hAnsi="Arial Narrow" w:cs="Arial"/>
          <w:sz w:val="22"/>
          <w:szCs w:val="22"/>
          <w:lang w:val="es-ES_tradnl"/>
        </w:rPr>
        <w:t xml:space="preserve">y del Decreto 4169 de 2011, </w:t>
      </w:r>
      <w:r w:rsidRPr="00CD3187">
        <w:rPr>
          <w:rFonts w:ascii="Arial Narrow" w:hAnsi="Arial Narrow" w:cs="Arial"/>
          <w:sz w:val="22"/>
          <w:szCs w:val="22"/>
          <w:lang w:val="es-ES_tradnl"/>
        </w:rPr>
        <w:t>que sustentan la expedición del proyecto normativo</w:t>
      </w:r>
      <w:r w:rsidR="004653AA">
        <w:rPr>
          <w:rFonts w:ascii="Arial Narrow" w:hAnsi="Arial Narrow" w:cs="Arial"/>
          <w:sz w:val="22"/>
          <w:szCs w:val="22"/>
          <w:lang w:val="es-ES_tradnl"/>
        </w:rPr>
        <w:t>,</w:t>
      </w:r>
      <w:r w:rsidRPr="00CD3187">
        <w:rPr>
          <w:rFonts w:ascii="Arial Narrow" w:hAnsi="Arial Narrow" w:cs="Arial"/>
          <w:sz w:val="22"/>
          <w:szCs w:val="22"/>
          <w:lang w:val="es-ES_tradnl"/>
        </w:rPr>
        <w:t xml:space="preserve"> se encuentran actualmente vigentes y no han tenido limitaciones vía jurisprudencia.</w:t>
      </w:r>
    </w:p>
    <w:p w14:paraId="0E889642" w14:textId="77777777" w:rsidR="00584CD6" w:rsidRPr="00CD3187" w:rsidRDefault="00584CD6" w:rsidP="00584CD6">
      <w:pPr>
        <w:jc w:val="both"/>
        <w:rPr>
          <w:rFonts w:ascii="Arial Narrow" w:hAnsi="Arial Narrow" w:cs="Arial"/>
          <w:sz w:val="22"/>
          <w:szCs w:val="22"/>
          <w:lang w:val="es-ES_tradnl"/>
        </w:rPr>
      </w:pPr>
    </w:p>
    <w:p w14:paraId="28F91EE5" w14:textId="51B56546" w:rsidR="00584CD6" w:rsidRPr="00CD3187" w:rsidRDefault="00584CD6" w:rsidP="00584CD6">
      <w:pPr>
        <w:spacing w:after="262" w:line="271" w:lineRule="atLeast"/>
        <w:ind w:right="49"/>
        <w:jc w:val="both"/>
        <w:rPr>
          <w:rFonts w:ascii="Arial Narrow" w:hAnsi="Arial Narrow" w:cs="Arial"/>
          <w:sz w:val="22"/>
          <w:szCs w:val="22"/>
        </w:rPr>
      </w:pPr>
      <w:r w:rsidRPr="00CD3187">
        <w:rPr>
          <w:rFonts w:ascii="Arial Narrow" w:hAnsi="Arial Narrow" w:cs="Arial"/>
          <w:b/>
          <w:color w:val="000000"/>
          <w:sz w:val="22"/>
          <w:szCs w:val="22"/>
          <w:lang w:eastAsia="en-US"/>
        </w:rPr>
        <w:t>3.3.</w:t>
      </w:r>
      <w:r w:rsidRPr="00CD3187">
        <w:rPr>
          <w:rFonts w:ascii="Arial Narrow" w:hAnsi="Arial Narrow" w:cs="Arial"/>
          <w:b/>
          <w:color w:val="000000"/>
          <w:sz w:val="22"/>
          <w:szCs w:val="22"/>
          <w:lang w:eastAsia="en-US"/>
        </w:rPr>
        <w:tab/>
      </w:r>
      <w:r w:rsidRPr="00CD3187">
        <w:rPr>
          <w:rFonts w:ascii="Arial Narrow" w:hAnsi="Arial Narrow" w:cs="Arial"/>
          <w:color w:val="000000"/>
          <w:sz w:val="22"/>
          <w:szCs w:val="22"/>
          <w:lang w:eastAsia="en-US"/>
        </w:rPr>
        <w:t xml:space="preserve">Disposiciones que se derogan, subrogan, modifican, adicionan o desarrollan con el </w:t>
      </w:r>
      <w:r w:rsidRPr="00CD3187">
        <w:rPr>
          <w:rFonts w:ascii="Arial Narrow" w:hAnsi="Arial Narrow" w:cs="Arial"/>
          <w:sz w:val="22"/>
          <w:szCs w:val="22"/>
          <w:lang w:val="es-ES_tradnl"/>
        </w:rPr>
        <w:t>acto administrativo</w:t>
      </w:r>
      <w:r w:rsidRPr="00CD3187">
        <w:rPr>
          <w:rFonts w:ascii="Arial Narrow" w:hAnsi="Arial Narrow" w:cs="Arial"/>
          <w:color w:val="000000"/>
          <w:sz w:val="22"/>
          <w:szCs w:val="22"/>
          <w:lang w:eastAsia="en-US"/>
        </w:rPr>
        <w:t>:</w:t>
      </w:r>
    </w:p>
    <w:p w14:paraId="4FF39D8B" w14:textId="2C821A56" w:rsidR="007B7304" w:rsidRPr="00F40A71" w:rsidRDefault="009D53B2" w:rsidP="007B7304">
      <w:pPr>
        <w:pStyle w:val="s4"/>
        <w:spacing w:before="0" w:beforeAutospacing="0" w:after="0" w:afterAutospacing="0"/>
        <w:jc w:val="both"/>
        <w:rPr>
          <w:rFonts w:ascii="Arial Narrow" w:eastAsia="Times New Roman" w:hAnsi="Arial Narrow"/>
          <w:color w:val="000000" w:themeColor="text1"/>
          <w:sz w:val="22"/>
          <w:szCs w:val="22"/>
        </w:rPr>
      </w:pPr>
      <w:r>
        <w:rPr>
          <w:rFonts w:ascii="Arial Narrow" w:hAnsi="Arial Narrow" w:cs="Arial"/>
          <w:sz w:val="22"/>
          <w:szCs w:val="22"/>
        </w:rPr>
        <w:t>Con e</w:t>
      </w:r>
      <w:r w:rsidR="00794520" w:rsidRPr="00452CF7">
        <w:rPr>
          <w:rFonts w:ascii="Arial Narrow" w:hAnsi="Arial Narrow" w:cs="Arial"/>
          <w:sz w:val="22"/>
          <w:szCs w:val="22"/>
        </w:rPr>
        <w:t>l proyecto de resolución</w:t>
      </w:r>
      <w:r w:rsidR="00794520" w:rsidRPr="00CD3187">
        <w:rPr>
          <w:rFonts w:ascii="Arial Narrow" w:hAnsi="Arial Narrow" w:cs="Arial"/>
          <w:sz w:val="22"/>
          <w:szCs w:val="22"/>
        </w:rPr>
        <w:t xml:space="preserve"> </w:t>
      </w:r>
      <w:r>
        <w:rPr>
          <w:rFonts w:ascii="Arial Narrow" w:hAnsi="Arial Narrow" w:cs="Arial"/>
          <w:sz w:val="22"/>
          <w:szCs w:val="22"/>
        </w:rPr>
        <w:t xml:space="preserve">propuesto no se pretende </w:t>
      </w:r>
      <w:r w:rsidR="007B7304">
        <w:rPr>
          <w:rFonts w:ascii="Arial Narrow" w:hAnsi="Arial Narrow" w:cs="Arial"/>
          <w:sz w:val="22"/>
          <w:szCs w:val="22"/>
        </w:rPr>
        <w:t>deroga</w:t>
      </w:r>
      <w:r>
        <w:rPr>
          <w:rFonts w:ascii="Arial Narrow" w:hAnsi="Arial Narrow" w:cs="Arial"/>
          <w:sz w:val="22"/>
          <w:szCs w:val="22"/>
        </w:rPr>
        <w:t>r ninguna normatividad.</w:t>
      </w:r>
      <w:r w:rsidR="007B7304">
        <w:rPr>
          <w:rFonts w:ascii="Arial Narrow" w:hAnsi="Arial Narrow" w:cs="Arial"/>
          <w:sz w:val="22"/>
          <w:szCs w:val="22"/>
        </w:rPr>
        <w:t xml:space="preserve"> </w:t>
      </w:r>
    </w:p>
    <w:p w14:paraId="114D3F37" w14:textId="77777777" w:rsidR="00245FD1" w:rsidRPr="00CD3187" w:rsidRDefault="00245FD1" w:rsidP="00584CD6">
      <w:pPr>
        <w:jc w:val="both"/>
        <w:rPr>
          <w:rFonts w:ascii="Arial Narrow" w:hAnsi="Arial Narrow" w:cs="Arial"/>
          <w:sz w:val="22"/>
          <w:szCs w:val="22"/>
        </w:rPr>
      </w:pPr>
    </w:p>
    <w:p w14:paraId="79F8C07C" w14:textId="77777777" w:rsidR="00584CD6" w:rsidRPr="00CD3187" w:rsidRDefault="00584CD6" w:rsidP="00584CD6">
      <w:pPr>
        <w:ind w:left="705" w:hanging="705"/>
        <w:jc w:val="both"/>
        <w:rPr>
          <w:rFonts w:ascii="Arial Narrow" w:hAnsi="Arial Narrow" w:cs="Arial"/>
          <w:sz w:val="22"/>
          <w:szCs w:val="22"/>
        </w:rPr>
      </w:pPr>
      <w:r w:rsidRPr="00CD3187">
        <w:rPr>
          <w:rFonts w:ascii="Arial Narrow" w:hAnsi="Arial Narrow" w:cs="Arial"/>
          <w:b/>
          <w:sz w:val="22"/>
          <w:szCs w:val="22"/>
        </w:rPr>
        <w:t>3.4.</w:t>
      </w:r>
      <w:r w:rsidRPr="00CD3187">
        <w:rPr>
          <w:rFonts w:ascii="Arial Narrow" w:hAnsi="Arial Narrow" w:cs="Arial"/>
          <w:sz w:val="22"/>
          <w:szCs w:val="22"/>
        </w:rPr>
        <w:tab/>
        <w:t>Revisión y análisis de las decisiones judiciales de los órganos de cierre de cada jurisdicción que pueden tener impacto o ser relevantes para la expedición del acto:</w:t>
      </w:r>
    </w:p>
    <w:p w14:paraId="56FD5ED7" w14:textId="77777777" w:rsidR="00584CD6" w:rsidRPr="00CD3187" w:rsidRDefault="00584CD6" w:rsidP="00584CD6">
      <w:pPr>
        <w:jc w:val="both"/>
        <w:rPr>
          <w:rFonts w:ascii="Arial Narrow" w:hAnsi="Arial Narrow" w:cs="Arial"/>
          <w:sz w:val="22"/>
          <w:szCs w:val="22"/>
        </w:rPr>
      </w:pPr>
    </w:p>
    <w:p w14:paraId="512C3971" w14:textId="4F30944E" w:rsidR="00584CD6" w:rsidRPr="00CD3187" w:rsidRDefault="00584CD6" w:rsidP="00584CD6">
      <w:pPr>
        <w:jc w:val="both"/>
        <w:rPr>
          <w:rFonts w:ascii="Arial Narrow" w:hAnsi="Arial Narrow" w:cs="Arial"/>
          <w:sz w:val="22"/>
          <w:szCs w:val="22"/>
        </w:rPr>
      </w:pPr>
      <w:r w:rsidRPr="00CD3187">
        <w:rPr>
          <w:rFonts w:ascii="Arial Narrow" w:hAnsi="Arial Narrow" w:cs="Arial"/>
          <w:sz w:val="22"/>
          <w:szCs w:val="22"/>
        </w:rPr>
        <w:t>A la fecha no hay precedentes jurisprudenciales que puedan tener impacto o ser relevan</w:t>
      </w:r>
      <w:r w:rsidR="00CD3187" w:rsidRPr="00CD3187">
        <w:rPr>
          <w:rFonts w:ascii="Arial Narrow" w:hAnsi="Arial Narrow" w:cs="Arial"/>
          <w:sz w:val="22"/>
          <w:szCs w:val="22"/>
        </w:rPr>
        <w:t>tes para la expedición del acto</w:t>
      </w:r>
      <w:r w:rsidR="007B7304">
        <w:rPr>
          <w:rFonts w:ascii="Arial Narrow" w:hAnsi="Arial Narrow" w:cs="Arial"/>
          <w:sz w:val="22"/>
          <w:szCs w:val="22"/>
        </w:rPr>
        <w:t>.</w:t>
      </w:r>
    </w:p>
    <w:p w14:paraId="28A48E00" w14:textId="77777777" w:rsidR="00584CD6" w:rsidRPr="00CD3187" w:rsidRDefault="00584CD6" w:rsidP="00584CD6">
      <w:pPr>
        <w:ind w:left="705" w:hanging="705"/>
        <w:jc w:val="both"/>
        <w:rPr>
          <w:rFonts w:ascii="Arial Narrow" w:hAnsi="Arial Narrow" w:cs="Arial"/>
          <w:b/>
          <w:sz w:val="22"/>
          <w:szCs w:val="22"/>
        </w:rPr>
      </w:pPr>
    </w:p>
    <w:p w14:paraId="4BE869B2" w14:textId="77777777" w:rsidR="00584CD6" w:rsidRPr="00CD3187" w:rsidRDefault="00584CD6" w:rsidP="00584CD6">
      <w:pPr>
        <w:ind w:left="705" w:hanging="705"/>
        <w:jc w:val="both"/>
        <w:rPr>
          <w:rFonts w:ascii="Arial Narrow" w:hAnsi="Arial Narrow" w:cs="Arial"/>
          <w:sz w:val="22"/>
          <w:szCs w:val="22"/>
        </w:rPr>
      </w:pPr>
      <w:r w:rsidRPr="00CD3187">
        <w:rPr>
          <w:rFonts w:ascii="Arial Narrow" w:hAnsi="Arial Narrow" w:cs="Arial"/>
          <w:b/>
          <w:sz w:val="22"/>
          <w:szCs w:val="22"/>
        </w:rPr>
        <w:t>3.5.</w:t>
      </w:r>
      <w:r w:rsidRPr="00CD3187">
        <w:rPr>
          <w:rFonts w:ascii="Arial Narrow" w:hAnsi="Arial Narrow" w:cs="Arial"/>
          <w:sz w:val="22"/>
          <w:szCs w:val="22"/>
        </w:rPr>
        <w:tab/>
        <w:t>Advertencia de cualquier otra circunstancia jurídica que pueda ser relevante para la expedición del acto:</w:t>
      </w:r>
    </w:p>
    <w:p w14:paraId="2E2BA762" w14:textId="77777777" w:rsidR="00584CD6" w:rsidRPr="00CD3187" w:rsidRDefault="00584CD6" w:rsidP="00584CD6">
      <w:pPr>
        <w:jc w:val="both"/>
        <w:rPr>
          <w:rFonts w:ascii="Arial Narrow" w:hAnsi="Arial Narrow" w:cs="Arial"/>
          <w:sz w:val="22"/>
          <w:szCs w:val="22"/>
        </w:rPr>
      </w:pPr>
    </w:p>
    <w:p w14:paraId="1236EB0B" w14:textId="46D8650B" w:rsidR="0081557D" w:rsidRPr="0081557D" w:rsidRDefault="00CD3187" w:rsidP="0081557D">
      <w:pPr>
        <w:pStyle w:val="Default"/>
        <w:spacing w:beforeLines="20" w:before="48" w:afterLines="20" w:after="48"/>
        <w:jc w:val="both"/>
        <w:rPr>
          <w:rFonts w:ascii="Arial Narrow" w:hAnsi="Arial Narrow"/>
          <w:color w:val="000000" w:themeColor="text1"/>
          <w:sz w:val="22"/>
          <w:szCs w:val="22"/>
          <w:lang w:eastAsia="es-CO"/>
        </w:rPr>
      </w:pPr>
      <w:r w:rsidRPr="00CD3187">
        <w:rPr>
          <w:rFonts w:ascii="Arial Narrow" w:hAnsi="Arial Narrow"/>
          <w:sz w:val="22"/>
          <w:szCs w:val="22"/>
        </w:rPr>
        <w:t>No aplica</w:t>
      </w:r>
      <w:r w:rsidR="0081557D">
        <w:rPr>
          <w:rFonts w:ascii="Arial Narrow" w:hAnsi="Arial Narrow"/>
          <w:sz w:val="22"/>
          <w:szCs w:val="22"/>
        </w:rPr>
        <w:t xml:space="preserve">.  El proyecto de Resolución </w:t>
      </w:r>
      <w:r w:rsidRPr="00CD3187">
        <w:rPr>
          <w:rFonts w:ascii="Arial Narrow" w:hAnsi="Arial Narrow"/>
          <w:sz w:val="22"/>
          <w:szCs w:val="22"/>
        </w:rPr>
        <w:t xml:space="preserve">es </w:t>
      </w:r>
      <w:r w:rsidR="0081557D">
        <w:rPr>
          <w:rFonts w:ascii="Arial Narrow" w:hAnsi="Arial Narrow"/>
          <w:sz w:val="22"/>
          <w:szCs w:val="22"/>
        </w:rPr>
        <w:t xml:space="preserve">el </w:t>
      </w:r>
      <w:r w:rsidRPr="00CD3187">
        <w:rPr>
          <w:rFonts w:ascii="Arial Narrow" w:hAnsi="Arial Narrow"/>
          <w:sz w:val="22"/>
          <w:szCs w:val="22"/>
        </w:rPr>
        <w:t>resultado de</w:t>
      </w:r>
      <w:r w:rsidR="0081557D">
        <w:rPr>
          <w:rFonts w:ascii="Arial Narrow" w:hAnsi="Arial Narrow"/>
          <w:sz w:val="22"/>
          <w:szCs w:val="22"/>
        </w:rPr>
        <w:t xml:space="preserve">l análisis de la normativa vigente </w:t>
      </w:r>
      <w:r w:rsidR="0081557D">
        <w:rPr>
          <w:rFonts w:ascii="Arial Narrow" w:hAnsi="Arial Narrow"/>
          <w:color w:val="000000" w:themeColor="text1"/>
          <w:sz w:val="22"/>
          <w:szCs w:val="22"/>
          <w:lang w:eastAsia="es-CO"/>
        </w:rPr>
        <w:t>expedida</w:t>
      </w:r>
      <w:r w:rsidR="0081557D" w:rsidRPr="0081557D">
        <w:rPr>
          <w:rFonts w:ascii="Arial Narrow" w:hAnsi="Arial Narrow"/>
          <w:color w:val="000000" w:themeColor="text1"/>
          <w:sz w:val="22"/>
          <w:szCs w:val="22"/>
          <w:lang w:eastAsia="es-CO"/>
        </w:rPr>
        <w:t xml:space="preserve"> por el Ministerio</w:t>
      </w:r>
      <w:r w:rsidR="0081557D">
        <w:rPr>
          <w:rFonts w:ascii="Arial Narrow" w:hAnsi="Arial Narrow"/>
          <w:color w:val="000000" w:themeColor="text1"/>
          <w:sz w:val="22"/>
          <w:szCs w:val="22"/>
          <w:lang w:eastAsia="es-CO"/>
        </w:rPr>
        <w:t xml:space="preserve"> de TIC relacionada</w:t>
      </w:r>
      <w:r w:rsidR="0081557D" w:rsidRPr="0081557D">
        <w:rPr>
          <w:rFonts w:ascii="Arial Narrow" w:hAnsi="Arial Narrow"/>
          <w:color w:val="000000" w:themeColor="text1"/>
          <w:sz w:val="22"/>
          <w:szCs w:val="22"/>
          <w:lang w:eastAsia="es-CO"/>
        </w:rPr>
        <w:t xml:space="preserve"> con la asignación del Espectro Radioeléctrico, </w:t>
      </w:r>
      <w:r w:rsidR="0081557D">
        <w:rPr>
          <w:rFonts w:ascii="Arial Narrow" w:hAnsi="Arial Narrow"/>
          <w:sz w:val="22"/>
          <w:szCs w:val="22"/>
        </w:rPr>
        <w:t xml:space="preserve">y de la </w:t>
      </w:r>
      <w:r w:rsidR="0081557D" w:rsidRPr="0081557D">
        <w:rPr>
          <w:rFonts w:ascii="Arial Narrow" w:hAnsi="Arial Narrow"/>
          <w:color w:val="000000" w:themeColor="text1"/>
          <w:sz w:val="22"/>
          <w:szCs w:val="22"/>
          <w:lang w:eastAsia="es-CO"/>
        </w:rPr>
        <w:t>neces</w:t>
      </w:r>
      <w:r w:rsidR="0081557D">
        <w:rPr>
          <w:rFonts w:ascii="Arial Narrow" w:hAnsi="Arial Narrow"/>
          <w:color w:val="000000" w:themeColor="text1"/>
          <w:sz w:val="22"/>
          <w:szCs w:val="22"/>
          <w:lang w:eastAsia="es-CO"/>
        </w:rPr>
        <w:t xml:space="preserve">idad de </w:t>
      </w:r>
      <w:r w:rsidR="0081557D" w:rsidRPr="0081557D">
        <w:rPr>
          <w:rFonts w:ascii="Arial Narrow" w:hAnsi="Arial Narrow"/>
          <w:color w:val="000000" w:themeColor="text1"/>
          <w:sz w:val="22"/>
          <w:szCs w:val="22"/>
          <w:lang w:eastAsia="es-CO"/>
        </w:rPr>
        <w:t>efectuar una simplificación</w:t>
      </w:r>
      <w:r w:rsidR="0081557D">
        <w:rPr>
          <w:rFonts w:ascii="Arial Narrow" w:hAnsi="Arial Narrow"/>
          <w:color w:val="000000" w:themeColor="text1"/>
          <w:sz w:val="22"/>
          <w:szCs w:val="22"/>
          <w:lang w:eastAsia="es-CO"/>
        </w:rPr>
        <w:t xml:space="preserve"> de </w:t>
      </w:r>
      <w:proofErr w:type="gramStart"/>
      <w:r w:rsidR="0081557D">
        <w:rPr>
          <w:rFonts w:ascii="Arial Narrow" w:hAnsi="Arial Narrow"/>
          <w:color w:val="000000" w:themeColor="text1"/>
          <w:sz w:val="22"/>
          <w:szCs w:val="22"/>
          <w:lang w:eastAsia="es-CO"/>
        </w:rPr>
        <w:t>la misma</w:t>
      </w:r>
      <w:proofErr w:type="gramEnd"/>
      <w:r w:rsidR="0081557D" w:rsidRPr="0081557D">
        <w:rPr>
          <w:rFonts w:ascii="Arial Narrow" w:hAnsi="Arial Narrow"/>
          <w:color w:val="000000" w:themeColor="text1"/>
          <w:sz w:val="22"/>
          <w:szCs w:val="22"/>
          <w:lang w:eastAsia="es-CO"/>
        </w:rPr>
        <w:t xml:space="preserve"> para que sean consultadas por el ciudadano de una forma más sencilla.</w:t>
      </w:r>
    </w:p>
    <w:p w14:paraId="1CDAB22D" w14:textId="308893E7" w:rsidR="00584CD6" w:rsidRDefault="00584CD6" w:rsidP="00584CD6">
      <w:pPr>
        <w:jc w:val="both"/>
        <w:rPr>
          <w:rFonts w:ascii="Arial Narrow" w:hAnsi="Arial Narrow" w:cs="Arial"/>
          <w:sz w:val="22"/>
          <w:szCs w:val="22"/>
        </w:rPr>
      </w:pPr>
    </w:p>
    <w:p w14:paraId="029EC0CA" w14:textId="77777777" w:rsidR="00812E11" w:rsidRPr="00CD3187" w:rsidRDefault="00812E11" w:rsidP="00584CD6">
      <w:pPr>
        <w:jc w:val="both"/>
        <w:rPr>
          <w:rFonts w:ascii="Arial Narrow" w:hAnsi="Arial Narrow" w:cs="Arial"/>
          <w:sz w:val="22"/>
          <w:szCs w:val="22"/>
        </w:rPr>
      </w:pPr>
    </w:p>
    <w:p w14:paraId="0CF221F9" w14:textId="77777777" w:rsidR="00584CD6" w:rsidRPr="00CD3187" w:rsidRDefault="00584CD6" w:rsidP="00584CD6">
      <w:pPr>
        <w:jc w:val="both"/>
        <w:rPr>
          <w:rFonts w:ascii="Arial Narrow" w:hAnsi="Arial Narrow" w:cs="Arial"/>
          <w:b/>
          <w:sz w:val="22"/>
          <w:szCs w:val="22"/>
          <w:lang w:val="es-ES_tradnl"/>
        </w:rPr>
      </w:pPr>
      <w:r w:rsidRPr="00CD3187">
        <w:rPr>
          <w:rFonts w:ascii="Arial Narrow" w:hAnsi="Arial Narrow" w:cs="Arial"/>
          <w:b/>
          <w:sz w:val="22"/>
          <w:szCs w:val="22"/>
          <w:lang w:val="es-ES_tradnl"/>
        </w:rPr>
        <w:t>4.</w:t>
      </w:r>
      <w:r w:rsidRPr="00CD3187">
        <w:rPr>
          <w:rFonts w:ascii="Arial Narrow" w:hAnsi="Arial Narrow" w:cs="Arial"/>
          <w:b/>
          <w:sz w:val="22"/>
          <w:szCs w:val="22"/>
          <w:lang w:val="es-ES_tradnl"/>
        </w:rPr>
        <w:tab/>
        <w:t>Estudio preliminar sobre posible impacto económico de la norma a expedir</w:t>
      </w:r>
    </w:p>
    <w:p w14:paraId="400DF4B8" w14:textId="2415DE5C" w:rsidR="00584CD6" w:rsidRDefault="00584CD6" w:rsidP="00584CD6">
      <w:pPr>
        <w:autoSpaceDE w:val="0"/>
        <w:autoSpaceDN w:val="0"/>
        <w:adjustRightInd w:val="0"/>
        <w:jc w:val="both"/>
        <w:rPr>
          <w:rFonts w:ascii="Arial Narrow" w:hAnsi="Arial Narrow" w:cs="Arial"/>
          <w:sz w:val="22"/>
          <w:szCs w:val="22"/>
        </w:rPr>
      </w:pPr>
    </w:p>
    <w:p w14:paraId="76004164" w14:textId="77777777" w:rsidR="00812E11" w:rsidRPr="00CD3187" w:rsidRDefault="00812E11" w:rsidP="00584CD6">
      <w:pPr>
        <w:autoSpaceDE w:val="0"/>
        <w:autoSpaceDN w:val="0"/>
        <w:adjustRightInd w:val="0"/>
        <w:jc w:val="both"/>
        <w:rPr>
          <w:rFonts w:ascii="Arial Narrow" w:hAnsi="Arial Narrow" w:cs="Arial"/>
          <w:sz w:val="22"/>
          <w:szCs w:val="22"/>
        </w:rPr>
      </w:pPr>
    </w:p>
    <w:p w14:paraId="72721793" w14:textId="08BD7AB2" w:rsidR="00584CD6" w:rsidRPr="00CD3187" w:rsidRDefault="00452CF7" w:rsidP="00584CD6">
      <w:pPr>
        <w:autoSpaceDE w:val="0"/>
        <w:autoSpaceDN w:val="0"/>
        <w:adjustRightInd w:val="0"/>
        <w:jc w:val="both"/>
        <w:rPr>
          <w:rFonts w:ascii="Arial Narrow" w:hAnsi="Arial Narrow" w:cs="Arial"/>
          <w:sz w:val="22"/>
          <w:szCs w:val="22"/>
        </w:rPr>
      </w:pPr>
      <w:r>
        <w:rPr>
          <w:rFonts w:ascii="Arial Narrow" w:hAnsi="Arial Narrow" w:cs="Arial"/>
          <w:sz w:val="22"/>
          <w:szCs w:val="22"/>
        </w:rPr>
        <w:t xml:space="preserve">La norma </w:t>
      </w:r>
      <w:r w:rsidR="0081557D">
        <w:rPr>
          <w:rFonts w:ascii="Arial Narrow" w:hAnsi="Arial Narrow" w:cs="Arial"/>
          <w:sz w:val="22"/>
          <w:szCs w:val="22"/>
        </w:rPr>
        <w:t>no genera i</w:t>
      </w:r>
      <w:r w:rsidR="009D53B2">
        <w:rPr>
          <w:rFonts w:ascii="Arial Narrow" w:hAnsi="Arial Narrow" w:cs="Arial"/>
          <w:sz w:val="22"/>
          <w:szCs w:val="22"/>
        </w:rPr>
        <w:t>mpacto económico para el MINTIC</w:t>
      </w:r>
      <w:r w:rsidR="0081557D">
        <w:rPr>
          <w:rFonts w:ascii="Arial Narrow" w:hAnsi="Arial Narrow" w:cs="Arial"/>
          <w:sz w:val="22"/>
          <w:szCs w:val="22"/>
        </w:rPr>
        <w:t>.</w:t>
      </w:r>
      <w:r>
        <w:rPr>
          <w:rFonts w:ascii="Arial Narrow" w:hAnsi="Arial Narrow" w:cs="Arial"/>
          <w:sz w:val="22"/>
          <w:szCs w:val="22"/>
        </w:rPr>
        <w:t xml:space="preserve"> </w:t>
      </w:r>
    </w:p>
    <w:p w14:paraId="1DFF4F5A" w14:textId="697DE808" w:rsidR="00584CD6" w:rsidRDefault="00584CD6" w:rsidP="00584CD6">
      <w:pPr>
        <w:autoSpaceDE w:val="0"/>
        <w:autoSpaceDN w:val="0"/>
        <w:adjustRightInd w:val="0"/>
        <w:jc w:val="both"/>
        <w:rPr>
          <w:rFonts w:ascii="Arial Narrow" w:hAnsi="Arial Narrow" w:cs="Arial"/>
          <w:sz w:val="22"/>
          <w:szCs w:val="22"/>
        </w:rPr>
      </w:pPr>
    </w:p>
    <w:p w14:paraId="1E3B6169" w14:textId="77777777" w:rsidR="00812E11" w:rsidRPr="00CD3187" w:rsidRDefault="00812E11" w:rsidP="00584CD6">
      <w:pPr>
        <w:autoSpaceDE w:val="0"/>
        <w:autoSpaceDN w:val="0"/>
        <w:adjustRightInd w:val="0"/>
        <w:jc w:val="both"/>
        <w:rPr>
          <w:rFonts w:ascii="Arial Narrow" w:hAnsi="Arial Narrow" w:cs="Arial"/>
          <w:sz w:val="22"/>
          <w:szCs w:val="22"/>
        </w:rPr>
      </w:pPr>
    </w:p>
    <w:p w14:paraId="6693E75D" w14:textId="77777777" w:rsidR="00584CD6" w:rsidRPr="00CD3187" w:rsidRDefault="00584CD6" w:rsidP="00584CD6">
      <w:pPr>
        <w:autoSpaceDE w:val="0"/>
        <w:autoSpaceDN w:val="0"/>
        <w:adjustRightInd w:val="0"/>
        <w:jc w:val="both"/>
        <w:rPr>
          <w:rFonts w:ascii="Arial Narrow" w:hAnsi="Arial Narrow" w:cs="Arial"/>
          <w:b/>
          <w:bCs/>
          <w:sz w:val="22"/>
          <w:szCs w:val="22"/>
        </w:rPr>
      </w:pPr>
      <w:r w:rsidRPr="00CD3187">
        <w:rPr>
          <w:rFonts w:ascii="Arial Narrow" w:hAnsi="Arial Narrow" w:cs="Arial"/>
          <w:b/>
          <w:bCs/>
          <w:sz w:val="22"/>
          <w:szCs w:val="22"/>
        </w:rPr>
        <w:t>5.</w:t>
      </w:r>
      <w:r w:rsidRPr="00CD3187">
        <w:rPr>
          <w:rFonts w:ascii="Arial Narrow" w:hAnsi="Arial Narrow" w:cs="Arial"/>
          <w:b/>
          <w:bCs/>
          <w:sz w:val="22"/>
          <w:szCs w:val="22"/>
        </w:rPr>
        <w:tab/>
        <w:t>Disponibilidad presupuestal</w:t>
      </w:r>
    </w:p>
    <w:p w14:paraId="531FD96A" w14:textId="29FAB653" w:rsidR="00584CD6" w:rsidRDefault="00584CD6" w:rsidP="00584CD6">
      <w:pPr>
        <w:autoSpaceDE w:val="0"/>
        <w:autoSpaceDN w:val="0"/>
        <w:adjustRightInd w:val="0"/>
        <w:jc w:val="both"/>
        <w:rPr>
          <w:rFonts w:ascii="Arial Narrow" w:hAnsi="Arial Narrow" w:cs="Arial"/>
          <w:b/>
          <w:bCs/>
          <w:sz w:val="22"/>
          <w:szCs w:val="22"/>
        </w:rPr>
      </w:pPr>
    </w:p>
    <w:p w14:paraId="1231618D" w14:textId="77777777" w:rsidR="00812E11" w:rsidRPr="00CD3187" w:rsidRDefault="00812E11" w:rsidP="00584CD6">
      <w:pPr>
        <w:autoSpaceDE w:val="0"/>
        <w:autoSpaceDN w:val="0"/>
        <w:adjustRightInd w:val="0"/>
        <w:jc w:val="both"/>
        <w:rPr>
          <w:rFonts w:ascii="Arial Narrow" w:hAnsi="Arial Narrow" w:cs="Arial"/>
          <w:b/>
          <w:bCs/>
          <w:sz w:val="22"/>
          <w:szCs w:val="22"/>
        </w:rPr>
      </w:pPr>
    </w:p>
    <w:p w14:paraId="07E4904D" w14:textId="77777777" w:rsidR="00584CD6" w:rsidRPr="00CD3187" w:rsidRDefault="00CD3187" w:rsidP="00584CD6">
      <w:pPr>
        <w:autoSpaceDE w:val="0"/>
        <w:autoSpaceDN w:val="0"/>
        <w:adjustRightInd w:val="0"/>
        <w:jc w:val="both"/>
        <w:rPr>
          <w:rFonts w:ascii="Arial Narrow" w:hAnsi="Arial Narrow" w:cs="Arial"/>
          <w:bCs/>
          <w:sz w:val="22"/>
          <w:szCs w:val="22"/>
        </w:rPr>
      </w:pPr>
      <w:r w:rsidRPr="00CD3187">
        <w:rPr>
          <w:rFonts w:ascii="Arial Narrow" w:hAnsi="Arial Narrow" w:cs="Arial"/>
          <w:bCs/>
          <w:sz w:val="22"/>
          <w:szCs w:val="22"/>
        </w:rPr>
        <w:t>No aplica, no requiere disponibilidad presupuestal.</w:t>
      </w:r>
    </w:p>
    <w:p w14:paraId="668096D0" w14:textId="0E8CB229" w:rsidR="00584CD6" w:rsidRDefault="00584CD6" w:rsidP="00584CD6">
      <w:pPr>
        <w:autoSpaceDE w:val="0"/>
        <w:autoSpaceDN w:val="0"/>
        <w:adjustRightInd w:val="0"/>
        <w:jc w:val="both"/>
        <w:rPr>
          <w:rFonts w:ascii="Arial Narrow" w:hAnsi="Arial Narrow" w:cs="Arial"/>
          <w:b/>
          <w:bCs/>
          <w:sz w:val="22"/>
          <w:szCs w:val="22"/>
        </w:rPr>
      </w:pPr>
    </w:p>
    <w:p w14:paraId="469B8106" w14:textId="77777777" w:rsidR="00812E11" w:rsidRPr="00CD3187" w:rsidRDefault="00812E11" w:rsidP="00584CD6">
      <w:pPr>
        <w:autoSpaceDE w:val="0"/>
        <w:autoSpaceDN w:val="0"/>
        <w:adjustRightInd w:val="0"/>
        <w:jc w:val="both"/>
        <w:rPr>
          <w:rFonts w:ascii="Arial Narrow" w:hAnsi="Arial Narrow" w:cs="Arial"/>
          <w:b/>
          <w:bCs/>
          <w:sz w:val="22"/>
          <w:szCs w:val="22"/>
        </w:rPr>
      </w:pPr>
    </w:p>
    <w:p w14:paraId="6E269648" w14:textId="77777777" w:rsidR="00584CD6" w:rsidRPr="00CD3187" w:rsidRDefault="00584CD6" w:rsidP="00584CD6">
      <w:pPr>
        <w:autoSpaceDE w:val="0"/>
        <w:autoSpaceDN w:val="0"/>
        <w:adjustRightInd w:val="0"/>
        <w:ind w:left="705" w:hanging="705"/>
        <w:jc w:val="both"/>
        <w:rPr>
          <w:rFonts w:ascii="Arial Narrow" w:hAnsi="Arial Narrow" w:cs="Arial"/>
          <w:b/>
          <w:bCs/>
          <w:sz w:val="22"/>
          <w:szCs w:val="22"/>
        </w:rPr>
      </w:pPr>
      <w:r w:rsidRPr="00CD3187">
        <w:rPr>
          <w:rFonts w:ascii="Arial Narrow" w:hAnsi="Arial Narrow" w:cs="Arial"/>
          <w:b/>
          <w:bCs/>
          <w:sz w:val="22"/>
          <w:szCs w:val="22"/>
        </w:rPr>
        <w:t>6.</w:t>
      </w:r>
      <w:r w:rsidRPr="00CD3187">
        <w:rPr>
          <w:rFonts w:ascii="Arial Narrow" w:hAnsi="Arial Narrow" w:cs="Arial"/>
          <w:b/>
          <w:bCs/>
          <w:sz w:val="22"/>
          <w:szCs w:val="22"/>
        </w:rPr>
        <w:tab/>
      </w:r>
      <w:r w:rsidRPr="00CD3187">
        <w:rPr>
          <w:rFonts w:ascii="Arial Narrow" w:hAnsi="Arial Narrow" w:cs="Arial"/>
          <w:b/>
          <w:sz w:val="22"/>
          <w:szCs w:val="22"/>
          <w:lang w:val="es-ES_tradnl"/>
        </w:rPr>
        <w:t>Estudio preliminar sobre posible impacto</w:t>
      </w:r>
      <w:r w:rsidRPr="00CD3187">
        <w:rPr>
          <w:rFonts w:ascii="Arial Narrow" w:hAnsi="Arial Narrow" w:cs="Arial"/>
          <w:b/>
          <w:bCs/>
          <w:sz w:val="22"/>
          <w:szCs w:val="22"/>
        </w:rPr>
        <w:t xml:space="preserve"> medioambiental o sobre el patrimonio cultural de la Nación</w:t>
      </w:r>
    </w:p>
    <w:p w14:paraId="59603780" w14:textId="01F27580" w:rsidR="00584CD6" w:rsidRDefault="00584CD6" w:rsidP="00584CD6">
      <w:pPr>
        <w:autoSpaceDE w:val="0"/>
        <w:autoSpaceDN w:val="0"/>
        <w:adjustRightInd w:val="0"/>
        <w:jc w:val="both"/>
        <w:rPr>
          <w:rFonts w:ascii="Arial Narrow" w:hAnsi="Arial Narrow" w:cs="Arial"/>
          <w:sz w:val="22"/>
          <w:szCs w:val="22"/>
        </w:rPr>
      </w:pPr>
    </w:p>
    <w:p w14:paraId="4D926B84" w14:textId="77777777" w:rsidR="00812E11" w:rsidRPr="00CD3187" w:rsidRDefault="00812E11" w:rsidP="00584CD6">
      <w:pPr>
        <w:autoSpaceDE w:val="0"/>
        <w:autoSpaceDN w:val="0"/>
        <w:adjustRightInd w:val="0"/>
        <w:jc w:val="both"/>
        <w:rPr>
          <w:rFonts w:ascii="Arial Narrow" w:hAnsi="Arial Narrow" w:cs="Arial"/>
          <w:sz w:val="22"/>
          <w:szCs w:val="22"/>
        </w:rPr>
      </w:pPr>
    </w:p>
    <w:p w14:paraId="5B3E0057" w14:textId="04FA2E9C" w:rsidR="00584CD6" w:rsidRPr="00CD3187" w:rsidRDefault="00D16D01" w:rsidP="00584CD6">
      <w:pPr>
        <w:autoSpaceDE w:val="0"/>
        <w:autoSpaceDN w:val="0"/>
        <w:adjustRightInd w:val="0"/>
        <w:jc w:val="both"/>
        <w:rPr>
          <w:rFonts w:ascii="Arial Narrow" w:hAnsi="Arial Narrow" w:cs="Arial"/>
          <w:sz w:val="22"/>
          <w:szCs w:val="22"/>
        </w:rPr>
      </w:pPr>
      <w:r w:rsidRPr="00CD3187">
        <w:rPr>
          <w:rFonts w:ascii="Arial Narrow" w:hAnsi="Arial Narrow" w:cs="Arial"/>
          <w:sz w:val="22"/>
          <w:szCs w:val="22"/>
        </w:rPr>
        <w:t>La norma por expedir no</w:t>
      </w:r>
      <w:r w:rsidR="00584CD6" w:rsidRPr="00CD3187">
        <w:rPr>
          <w:rFonts w:ascii="Arial Narrow" w:hAnsi="Arial Narrow" w:cs="Arial"/>
          <w:sz w:val="22"/>
          <w:szCs w:val="22"/>
        </w:rPr>
        <w:t xml:space="preserve"> genera impacto medioambiental o sobre el patrimonio cultural de la Nación.</w:t>
      </w:r>
    </w:p>
    <w:p w14:paraId="749FF773" w14:textId="5EFE455F" w:rsidR="00584CD6" w:rsidRDefault="00584CD6" w:rsidP="00584CD6">
      <w:pPr>
        <w:contextualSpacing/>
        <w:jc w:val="both"/>
        <w:rPr>
          <w:rFonts w:ascii="Arial Narrow" w:hAnsi="Arial Narrow" w:cs="Arial"/>
          <w:b/>
          <w:sz w:val="22"/>
          <w:szCs w:val="22"/>
        </w:rPr>
      </w:pPr>
    </w:p>
    <w:p w14:paraId="5BB8434C" w14:textId="77777777" w:rsidR="00812E11" w:rsidRPr="00CD3187" w:rsidRDefault="00812E11" w:rsidP="00584CD6">
      <w:pPr>
        <w:contextualSpacing/>
        <w:jc w:val="both"/>
        <w:rPr>
          <w:rFonts w:ascii="Arial Narrow" w:hAnsi="Arial Narrow" w:cs="Arial"/>
          <w:b/>
          <w:sz w:val="22"/>
          <w:szCs w:val="22"/>
        </w:rPr>
      </w:pPr>
    </w:p>
    <w:p w14:paraId="37E4DB8F" w14:textId="77777777" w:rsidR="00584CD6" w:rsidRPr="00452CF7" w:rsidRDefault="00584CD6" w:rsidP="00584CD6">
      <w:pPr>
        <w:pStyle w:val="NormalWeb"/>
        <w:spacing w:before="0" w:beforeAutospacing="0" w:after="0" w:afterAutospacing="0"/>
        <w:jc w:val="both"/>
        <w:rPr>
          <w:rFonts w:ascii="Arial Narrow" w:hAnsi="Arial Narrow" w:cs="Arial"/>
          <w:b/>
          <w:sz w:val="22"/>
          <w:szCs w:val="22"/>
        </w:rPr>
      </w:pPr>
      <w:r w:rsidRPr="00452CF7">
        <w:rPr>
          <w:rFonts w:ascii="Arial Narrow" w:hAnsi="Arial Narrow" w:cs="Arial"/>
          <w:b/>
          <w:sz w:val="22"/>
          <w:szCs w:val="22"/>
        </w:rPr>
        <w:t>7.</w:t>
      </w:r>
      <w:r w:rsidRPr="00452CF7">
        <w:rPr>
          <w:rFonts w:ascii="Arial Narrow" w:hAnsi="Arial Narrow" w:cs="Arial"/>
          <w:b/>
          <w:sz w:val="22"/>
          <w:szCs w:val="22"/>
        </w:rPr>
        <w:tab/>
        <w:t>Manifestación de Impacto Regulatorio</w:t>
      </w:r>
    </w:p>
    <w:p w14:paraId="61C7BC43" w14:textId="0B9926AF" w:rsidR="00584CD6" w:rsidRDefault="00584CD6" w:rsidP="00584CD6">
      <w:pPr>
        <w:pStyle w:val="NormalWeb"/>
        <w:spacing w:before="0" w:beforeAutospacing="0" w:after="0" w:afterAutospacing="0"/>
        <w:jc w:val="both"/>
        <w:rPr>
          <w:rFonts w:ascii="Arial Narrow" w:hAnsi="Arial Narrow" w:cs="Arial"/>
          <w:sz w:val="22"/>
          <w:szCs w:val="22"/>
          <w:highlight w:val="yellow"/>
        </w:rPr>
      </w:pPr>
    </w:p>
    <w:p w14:paraId="0D6DCED6" w14:textId="77777777" w:rsidR="00812E11" w:rsidRPr="00CD3187" w:rsidRDefault="00812E11" w:rsidP="00584CD6">
      <w:pPr>
        <w:pStyle w:val="NormalWeb"/>
        <w:spacing w:before="0" w:beforeAutospacing="0" w:after="0" w:afterAutospacing="0"/>
        <w:jc w:val="both"/>
        <w:rPr>
          <w:rFonts w:ascii="Arial Narrow" w:hAnsi="Arial Narrow" w:cs="Arial"/>
          <w:sz w:val="22"/>
          <w:szCs w:val="22"/>
          <w:highlight w:val="yellow"/>
        </w:rPr>
      </w:pPr>
    </w:p>
    <w:p w14:paraId="468E42D6" w14:textId="60950F54" w:rsidR="00C46816" w:rsidRPr="00CD3187" w:rsidRDefault="0081557D" w:rsidP="00CD3187">
      <w:pPr>
        <w:autoSpaceDE w:val="0"/>
        <w:autoSpaceDN w:val="0"/>
        <w:adjustRightInd w:val="0"/>
        <w:jc w:val="both"/>
        <w:rPr>
          <w:rFonts w:ascii="Arial Narrow" w:hAnsi="Arial Narrow" w:cs="Arial"/>
          <w:sz w:val="22"/>
          <w:szCs w:val="22"/>
        </w:rPr>
      </w:pPr>
      <w:r>
        <w:rPr>
          <w:rFonts w:ascii="Arial Narrow" w:hAnsi="Arial Narrow" w:cs="Arial"/>
          <w:sz w:val="22"/>
          <w:szCs w:val="22"/>
        </w:rPr>
        <w:t>El proyecto normativo no genera</w:t>
      </w:r>
      <w:r w:rsidR="00CD3187" w:rsidRPr="00CD3187">
        <w:rPr>
          <w:rFonts w:ascii="Arial Narrow" w:hAnsi="Arial Narrow" w:cs="Arial"/>
          <w:sz w:val="22"/>
          <w:szCs w:val="22"/>
        </w:rPr>
        <w:t xml:space="preserve"> un </w:t>
      </w:r>
      <w:r w:rsidR="00084D7B" w:rsidRPr="00CD3187">
        <w:rPr>
          <w:rFonts w:ascii="Arial Narrow" w:hAnsi="Arial Narrow" w:cs="Arial"/>
          <w:sz w:val="22"/>
          <w:szCs w:val="22"/>
        </w:rPr>
        <w:t>trámite</w:t>
      </w:r>
      <w:r w:rsidR="00CD3187" w:rsidRPr="00CD3187">
        <w:rPr>
          <w:rFonts w:ascii="Arial Narrow" w:hAnsi="Arial Narrow" w:cs="Arial"/>
          <w:sz w:val="22"/>
          <w:szCs w:val="22"/>
        </w:rPr>
        <w:t xml:space="preserve"> y por tanto no necesita manifestación de impacto regulatorio.</w:t>
      </w:r>
    </w:p>
    <w:p w14:paraId="5AA6E62E" w14:textId="77777777" w:rsidR="00946CAD" w:rsidRPr="00CD3187" w:rsidRDefault="00946CAD" w:rsidP="00252479">
      <w:pPr>
        <w:jc w:val="both"/>
        <w:rPr>
          <w:rFonts w:ascii="Arial Narrow" w:hAnsi="Arial Narrow" w:cs="Arial"/>
          <w:b/>
          <w:color w:val="000000"/>
          <w:sz w:val="22"/>
          <w:szCs w:val="22"/>
        </w:rPr>
      </w:pPr>
    </w:p>
    <w:p w14:paraId="4FD955C4" w14:textId="77777777" w:rsidR="00CD3187" w:rsidRDefault="00CD3187" w:rsidP="00252479">
      <w:pPr>
        <w:jc w:val="both"/>
        <w:rPr>
          <w:rFonts w:ascii="Arial Narrow" w:hAnsi="Arial Narrow" w:cs="Arial"/>
          <w:b/>
          <w:color w:val="000000"/>
          <w:sz w:val="22"/>
          <w:szCs w:val="22"/>
        </w:rPr>
      </w:pPr>
    </w:p>
    <w:p w14:paraId="5FBC1EFC" w14:textId="77777777" w:rsidR="00452CF7" w:rsidRDefault="00452CF7" w:rsidP="00252479">
      <w:pPr>
        <w:jc w:val="both"/>
        <w:rPr>
          <w:rFonts w:ascii="Arial Narrow" w:hAnsi="Arial Narrow" w:cs="Arial"/>
          <w:b/>
          <w:color w:val="000000"/>
          <w:sz w:val="22"/>
          <w:szCs w:val="22"/>
        </w:rPr>
      </w:pPr>
    </w:p>
    <w:p w14:paraId="4EFDA122" w14:textId="77777777" w:rsidR="00C40408" w:rsidRDefault="00C40408" w:rsidP="00252479">
      <w:pPr>
        <w:jc w:val="both"/>
        <w:rPr>
          <w:rFonts w:ascii="Arial Narrow" w:hAnsi="Arial Narrow" w:cs="Arial"/>
          <w:b/>
          <w:color w:val="000000"/>
          <w:sz w:val="22"/>
          <w:szCs w:val="22"/>
        </w:rPr>
      </w:pPr>
    </w:p>
    <w:p w14:paraId="731B6B4B" w14:textId="77777777" w:rsidR="00C40408" w:rsidRDefault="00C40408" w:rsidP="00252479">
      <w:pPr>
        <w:jc w:val="both"/>
        <w:rPr>
          <w:rFonts w:ascii="Arial Narrow" w:hAnsi="Arial Narrow" w:cs="Arial"/>
          <w:b/>
          <w:color w:val="000000"/>
          <w:sz w:val="22"/>
          <w:szCs w:val="22"/>
        </w:rPr>
      </w:pPr>
    </w:p>
    <w:p w14:paraId="7DF00332" w14:textId="361F3A3D" w:rsidR="00C40408" w:rsidRDefault="009D53B2" w:rsidP="00C40408">
      <w:pPr>
        <w:tabs>
          <w:tab w:val="left" w:pos="851"/>
        </w:tabs>
        <w:rPr>
          <w:rFonts w:ascii="Arial Narrow" w:hAnsi="Arial Narrow" w:cs="Arial"/>
          <w:b/>
          <w:bCs/>
          <w:color w:val="000000" w:themeColor="text1"/>
          <w:sz w:val="22"/>
          <w:szCs w:val="22"/>
        </w:rPr>
      </w:pPr>
      <w:r>
        <w:rPr>
          <w:rFonts w:ascii="Arial Narrow" w:hAnsi="Arial Narrow" w:cs="Arial"/>
          <w:b/>
          <w:bCs/>
          <w:color w:val="000000" w:themeColor="text1"/>
          <w:sz w:val="22"/>
          <w:szCs w:val="22"/>
        </w:rPr>
        <w:t>JORGE GUILLERMO BARRERA MEDINA</w:t>
      </w:r>
    </w:p>
    <w:p w14:paraId="7BB7852E" w14:textId="3707C539" w:rsidR="00C40408" w:rsidRDefault="0086570C" w:rsidP="00C40408">
      <w:pPr>
        <w:tabs>
          <w:tab w:val="left" w:pos="851"/>
        </w:tabs>
        <w:rPr>
          <w:rFonts w:cs="Arial"/>
          <w:sz w:val="14"/>
          <w:szCs w:val="14"/>
        </w:rPr>
      </w:pPr>
      <w:r>
        <w:rPr>
          <w:rFonts w:ascii="Arial Narrow" w:hAnsi="Arial Narrow" w:cs="Arial"/>
          <w:bCs/>
          <w:color w:val="000000" w:themeColor="text1"/>
          <w:sz w:val="22"/>
          <w:szCs w:val="22"/>
        </w:rPr>
        <w:t xml:space="preserve">Director </w:t>
      </w:r>
      <w:r w:rsidR="00C40408" w:rsidRPr="00C40408">
        <w:rPr>
          <w:rFonts w:ascii="Arial Narrow" w:hAnsi="Arial Narrow" w:cs="Arial"/>
          <w:bCs/>
          <w:color w:val="000000" w:themeColor="text1"/>
          <w:sz w:val="22"/>
          <w:szCs w:val="22"/>
        </w:rPr>
        <w:t>Industria de Comunicaciones</w:t>
      </w:r>
    </w:p>
    <w:p w14:paraId="4A7D24D4" w14:textId="77777777" w:rsidR="00C40408" w:rsidRPr="00CD3187" w:rsidRDefault="00C40408" w:rsidP="00252479">
      <w:pPr>
        <w:jc w:val="both"/>
        <w:rPr>
          <w:rFonts w:ascii="Arial Narrow" w:hAnsi="Arial Narrow" w:cs="Arial"/>
          <w:b/>
          <w:color w:val="000000"/>
          <w:sz w:val="22"/>
          <w:szCs w:val="22"/>
        </w:rPr>
      </w:pPr>
    </w:p>
    <w:p w14:paraId="3DFAC13E" w14:textId="77777777" w:rsidR="00946CAD" w:rsidRPr="00CD3187" w:rsidRDefault="00946CAD" w:rsidP="00946CAD">
      <w:pPr>
        <w:pStyle w:val="NormalWeb"/>
        <w:spacing w:before="0" w:beforeAutospacing="0" w:after="0" w:afterAutospacing="0"/>
        <w:jc w:val="both"/>
        <w:rPr>
          <w:rFonts w:ascii="Arial Narrow" w:hAnsi="Arial Narrow" w:cs="Arial"/>
          <w:sz w:val="22"/>
          <w:szCs w:val="22"/>
        </w:rPr>
      </w:pPr>
    </w:p>
    <w:p w14:paraId="57D43466" w14:textId="77777777" w:rsidR="00946CAD" w:rsidRPr="00CD3187" w:rsidRDefault="00946CAD" w:rsidP="00946CAD">
      <w:pPr>
        <w:pStyle w:val="NormalWeb"/>
        <w:spacing w:before="0" w:beforeAutospacing="0" w:after="0" w:afterAutospacing="0"/>
        <w:jc w:val="both"/>
        <w:rPr>
          <w:rFonts w:ascii="Arial Narrow" w:hAnsi="Arial Narrow" w:cs="Arial"/>
          <w:sz w:val="22"/>
          <w:szCs w:val="22"/>
        </w:rPr>
      </w:pPr>
    </w:p>
    <w:p w14:paraId="02EB14D6" w14:textId="77777777" w:rsidR="00946CAD" w:rsidRPr="00CD3187" w:rsidRDefault="00946CAD" w:rsidP="00946CAD">
      <w:pPr>
        <w:pStyle w:val="NormalWeb"/>
        <w:spacing w:before="0" w:beforeAutospacing="0" w:after="0" w:afterAutospacing="0"/>
        <w:jc w:val="both"/>
        <w:rPr>
          <w:rFonts w:ascii="Arial Narrow" w:hAnsi="Arial Narrow" w:cs="Arial"/>
          <w:sz w:val="22"/>
          <w:szCs w:val="22"/>
        </w:rPr>
      </w:pPr>
    </w:p>
    <w:p w14:paraId="0F8AF8D0" w14:textId="38FC9308" w:rsidR="00CD3187" w:rsidRPr="00CD3187" w:rsidRDefault="009D53B2" w:rsidP="00946CAD">
      <w:pPr>
        <w:pStyle w:val="NormalWeb"/>
        <w:spacing w:before="0" w:beforeAutospacing="0" w:after="0" w:afterAutospacing="0"/>
        <w:jc w:val="both"/>
        <w:rPr>
          <w:rFonts w:ascii="Arial Narrow" w:hAnsi="Arial Narrow" w:cs="Arial"/>
          <w:sz w:val="22"/>
          <w:szCs w:val="22"/>
        </w:rPr>
      </w:pPr>
      <w:r>
        <w:rPr>
          <w:rFonts w:ascii="Arial Narrow" w:hAnsi="Arial Narrow" w:cs="Arial"/>
          <w:b/>
          <w:color w:val="000000" w:themeColor="text1"/>
          <w:sz w:val="22"/>
          <w:szCs w:val="22"/>
        </w:rPr>
        <w:t>RICARDO ARTURO ARIAS BELTRÁN</w:t>
      </w:r>
      <w:r w:rsidR="00452CF7">
        <w:rPr>
          <w:rFonts w:ascii="Arial Narrow" w:hAnsi="Arial Narrow" w:cs="Arial"/>
          <w:b/>
          <w:color w:val="000000" w:themeColor="text1"/>
          <w:sz w:val="22"/>
          <w:szCs w:val="22"/>
        </w:rPr>
        <w:t xml:space="preserve"> </w:t>
      </w:r>
    </w:p>
    <w:p w14:paraId="6177F757" w14:textId="77777777" w:rsidR="00946CAD" w:rsidRPr="00CD3187" w:rsidRDefault="00946CAD" w:rsidP="00946CAD">
      <w:pPr>
        <w:pStyle w:val="NormalWeb"/>
        <w:spacing w:before="0" w:beforeAutospacing="0" w:after="0" w:afterAutospacing="0"/>
        <w:jc w:val="both"/>
        <w:rPr>
          <w:rFonts w:ascii="Arial Narrow" w:hAnsi="Arial Narrow" w:cs="Arial"/>
          <w:b/>
          <w:sz w:val="22"/>
          <w:szCs w:val="22"/>
        </w:rPr>
      </w:pPr>
      <w:r w:rsidRPr="00CD3187">
        <w:rPr>
          <w:rFonts w:ascii="Arial Narrow" w:hAnsi="Arial Narrow" w:cs="Arial"/>
          <w:sz w:val="22"/>
          <w:szCs w:val="22"/>
        </w:rPr>
        <w:t>Jefe Oficina Asesora Jurídica</w:t>
      </w:r>
    </w:p>
    <w:p w14:paraId="5258A2CA" w14:textId="77777777" w:rsidR="00946CAD" w:rsidRDefault="00946CAD" w:rsidP="00946CAD">
      <w:pPr>
        <w:pStyle w:val="NormalWeb"/>
        <w:spacing w:before="0" w:beforeAutospacing="0" w:after="0" w:afterAutospacing="0"/>
        <w:ind w:left="708"/>
        <w:jc w:val="both"/>
        <w:rPr>
          <w:rFonts w:ascii="Arial Narrow" w:hAnsi="Arial Narrow" w:cs="Arial"/>
          <w:sz w:val="22"/>
          <w:szCs w:val="22"/>
        </w:rPr>
      </w:pPr>
    </w:p>
    <w:p w14:paraId="2D6A0596" w14:textId="3CDA787E" w:rsidR="00946CAD" w:rsidRDefault="00946CAD" w:rsidP="00946CAD">
      <w:pPr>
        <w:pStyle w:val="NormalWeb"/>
        <w:spacing w:before="0" w:beforeAutospacing="0" w:after="0" w:afterAutospacing="0"/>
        <w:jc w:val="both"/>
        <w:rPr>
          <w:rFonts w:ascii="Arial Narrow" w:hAnsi="Arial Narrow" w:cs="Arial"/>
          <w:sz w:val="16"/>
          <w:szCs w:val="16"/>
        </w:rPr>
      </w:pPr>
    </w:p>
    <w:p w14:paraId="244D496D" w14:textId="02DD0735" w:rsidR="0081557D" w:rsidRDefault="0081557D" w:rsidP="00946CAD">
      <w:pPr>
        <w:pStyle w:val="NormalWeb"/>
        <w:spacing w:before="0" w:beforeAutospacing="0" w:after="0" w:afterAutospacing="0"/>
        <w:jc w:val="both"/>
        <w:rPr>
          <w:rFonts w:ascii="Arial Narrow" w:hAnsi="Arial Narrow" w:cs="Arial"/>
          <w:sz w:val="16"/>
          <w:szCs w:val="16"/>
        </w:rPr>
      </w:pPr>
    </w:p>
    <w:p w14:paraId="746A21A4" w14:textId="74B5F553" w:rsidR="0081557D" w:rsidRDefault="0081557D" w:rsidP="00946CAD">
      <w:pPr>
        <w:pStyle w:val="NormalWeb"/>
        <w:spacing w:before="0" w:beforeAutospacing="0" w:after="0" w:afterAutospacing="0"/>
        <w:jc w:val="both"/>
        <w:rPr>
          <w:rFonts w:ascii="Arial Narrow" w:hAnsi="Arial Narrow" w:cs="Arial"/>
          <w:sz w:val="16"/>
          <w:szCs w:val="16"/>
        </w:rPr>
      </w:pPr>
    </w:p>
    <w:p w14:paraId="19D4B0FF" w14:textId="77777777" w:rsidR="00875C86" w:rsidRDefault="00875C86" w:rsidP="00875C86">
      <w:pPr>
        <w:pStyle w:val="NormalWeb"/>
        <w:spacing w:before="0" w:beforeAutospacing="0" w:after="0" w:afterAutospacing="0"/>
        <w:jc w:val="both"/>
        <w:rPr>
          <w:rFonts w:ascii="Arial Narrow" w:hAnsi="Arial Narrow" w:cs="Arial"/>
          <w:sz w:val="16"/>
          <w:szCs w:val="16"/>
        </w:rPr>
      </w:pPr>
      <w:r>
        <w:rPr>
          <w:rFonts w:ascii="Arial Narrow" w:hAnsi="Arial Narrow" w:cs="Arial"/>
          <w:sz w:val="16"/>
          <w:szCs w:val="16"/>
        </w:rPr>
        <w:t xml:space="preserve">Proyectó: </w:t>
      </w:r>
      <w:r>
        <w:rPr>
          <w:rFonts w:ascii="Arial Narrow" w:hAnsi="Arial Narrow" w:cs="Arial"/>
          <w:sz w:val="16"/>
          <w:szCs w:val="16"/>
        </w:rPr>
        <w:tab/>
        <w:t xml:space="preserve">Gloria Pulgarín – Asesora </w:t>
      </w:r>
      <w:r w:rsidRPr="00614DFC">
        <w:rPr>
          <w:rFonts w:ascii="Arial Narrow" w:hAnsi="Arial Narrow" w:cs="Arial"/>
          <w:sz w:val="16"/>
          <w:szCs w:val="16"/>
        </w:rPr>
        <w:t>Oficina Asesora Jurídica</w:t>
      </w:r>
    </w:p>
    <w:p w14:paraId="0F96F2EB" w14:textId="77777777" w:rsidR="00875C86" w:rsidRPr="001E42C9" w:rsidRDefault="00875C86" w:rsidP="00875C86">
      <w:pPr>
        <w:pStyle w:val="NormalWeb"/>
        <w:spacing w:before="0" w:beforeAutospacing="0" w:after="0" w:afterAutospacing="0"/>
        <w:jc w:val="both"/>
        <w:rPr>
          <w:rFonts w:ascii="Arial Narrow" w:hAnsi="Arial Narrow" w:cs="Arial"/>
          <w:sz w:val="16"/>
          <w:szCs w:val="16"/>
        </w:rPr>
      </w:pPr>
      <w:r>
        <w:rPr>
          <w:rFonts w:ascii="Arial Narrow" w:hAnsi="Arial Narrow" w:cs="Arial"/>
          <w:sz w:val="16"/>
          <w:szCs w:val="16"/>
        </w:rPr>
        <w:tab/>
      </w:r>
      <w:r w:rsidRPr="00614DFC">
        <w:rPr>
          <w:rFonts w:ascii="Arial Narrow" w:hAnsi="Arial Narrow" w:cs="Arial"/>
          <w:sz w:val="16"/>
          <w:szCs w:val="16"/>
        </w:rPr>
        <w:t>Javier Rodríguez Tiguaque - Asesor DICOM</w:t>
      </w:r>
    </w:p>
    <w:p w14:paraId="0391625F" w14:textId="085AAE13" w:rsidR="0081557D" w:rsidRPr="001E42C9" w:rsidRDefault="0081557D" w:rsidP="00875C86">
      <w:pPr>
        <w:pStyle w:val="NormalWeb"/>
        <w:spacing w:before="0" w:beforeAutospacing="0" w:after="0" w:afterAutospacing="0"/>
        <w:jc w:val="both"/>
        <w:rPr>
          <w:rFonts w:ascii="Arial Narrow" w:hAnsi="Arial Narrow" w:cs="Arial"/>
          <w:sz w:val="16"/>
          <w:szCs w:val="16"/>
        </w:rPr>
      </w:pPr>
    </w:p>
    <w:sectPr w:rsidR="0081557D" w:rsidRPr="001E42C9">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9DCA9" w14:textId="77777777" w:rsidR="00EF386F" w:rsidRDefault="00EF386F" w:rsidP="001C31D5">
      <w:r>
        <w:separator/>
      </w:r>
    </w:p>
  </w:endnote>
  <w:endnote w:type="continuationSeparator" w:id="0">
    <w:p w14:paraId="56E8671C" w14:textId="77777777" w:rsidR="00EF386F" w:rsidRDefault="00EF386F"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14:paraId="1B29663B" w14:textId="77777777" w:rsidR="00CB061F" w:rsidRDefault="00CB061F" w:rsidP="00CB061F">
            <w:pPr>
              <w:pStyle w:val="Piedepgina"/>
              <w:rPr>
                <w:rFonts w:ascii="Arial Narrow" w:hAnsi="Arial Narrow"/>
                <w:sz w:val="16"/>
                <w:szCs w:val="16"/>
              </w:rPr>
            </w:pPr>
          </w:p>
          <w:p w14:paraId="1E43AFB1" w14:textId="106507DF" w:rsidR="00CB061F" w:rsidRDefault="00CB061F" w:rsidP="00CB061F">
            <w:pPr>
              <w:pStyle w:val="Piedepgina"/>
              <w:rPr>
                <w:rFonts w:ascii="Arial Narrow" w:hAnsi="Arial Narrow"/>
                <w:bCs/>
                <w:sz w:val="16"/>
                <w:szCs w:val="16"/>
              </w:rPr>
            </w:pPr>
            <w:r>
              <w:rPr>
                <w:rFonts w:ascii="Arial Narrow" w:hAnsi="Arial Narrow"/>
                <w:noProof/>
                <w:sz w:val="16"/>
                <w:szCs w:val="16"/>
              </w:rPr>
              <w:drawing>
                <wp:inline distT="0" distB="0" distL="0" distR="0" wp14:anchorId="4EB026F8" wp14:editId="56D3DF45">
                  <wp:extent cx="930303" cy="309399"/>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GS_actualizado.png"/>
                          <pic:cNvPicPr/>
                        </pic:nvPicPr>
                        <pic:blipFill>
                          <a:blip r:embed="rId1">
                            <a:extLst>
                              <a:ext uri="{28A0092B-C50C-407E-A947-70E740481C1C}">
                                <a14:useLocalDpi xmlns:a14="http://schemas.microsoft.com/office/drawing/2010/main" val="0"/>
                              </a:ext>
                            </a:extLst>
                          </a:blip>
                          <a:stretch>
                            <a:fillRect/>
                          </a:stretch>
                        </pic:blipFill>
                        <pic:spPr>
                          <a:xfrm>
                            <a:off x="0" y="0"/>
                            <a:ext cx="946960" cy="314939"/>
                          </a:xfrm>
                          <a:prstGeom prst="rect">
                            <a:avLst/>
                          </a:prstGeom>
                        </pic:spPr>
                      </pic:pic>
                    </a:graphicData>
                  </a:graphic>
                </wp:inline>
              </w:drawing>
            </w: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5C10ED">
              <w:rPr>
                <w:rFonts w:ascii="Arial Narrow" w:hAnsi="Arial Narrow"/>
                <w:bCs/>
                <w:noProof/>
                <w:sz w:val="16"/>
                <w:szCs w:val="16"/>
              </w:rPr>
              <w:t>1</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5C10ED">
              <w:rPr>
                <w:rFonts w:ascii="Arial Narrow" w:hAnsi="Arial Narrow"/>
                <w:bCs/>
                <w:noProof/>
                <w:sz w:val="16"/>
                <w:szCs w:val="16"/>
              </w:rPr>
              <w:t>4</w:t>
            </w:r>
            <w:r w:rsidRPr="00374DDE">
              <w:rPr>
                <w:rFonts w:ascii="Arial Narrow" w:hAnsi="Arial Narrow"/>
                <w:bCs/>
                <w:sz w:val="16"/>
                <w:szCs w:val="16"/>
              </w:rPr>
              <w:fldChar w:fldCharType="end"/>
            </w:r>
            <w:r>
              <w:rPr>
                <w:rFonts w:ascii="Arial Narrow" w:hAnsi="Arial Narrow"/>
                <w:bCs/>
                <w:sz w:val="16"/>
                <w:szCs w:val="16"/>
              </w:rPr>
              <w:tab/>
            </w:r>
            <w:r w:rsidR="00266AB4">
              <w:rPr>
                <w:rFonts w:ascii="Arial Narrow" w:hAnsi="Arial Narrow"/>
                <w:bCs/>
                <w:sz w:val="16"/>
                <w:szCs w:val="16"/>
              </w:rPr>
              <w:t>GJU</w:t>
            </w:r>
            <w:r>
              <w:rPr>
                <w:rFonts w:ascii="Arial Narrow" w:hAnsi="Arial Narrow"/>
                <w:bCs/>
                <w:sz w:val="16"/>
                <w:szCs w:val="16"/>
              </w:rPr>
              <w:t>-TIC-FM-010</w:t>
            </w:r>
          </w:p>
          <w:p w14:paraId="25B7CD01" w14:textId="77777777" w:rsidR="00CB061F" w:rsidRPr="00374DDE" w:rsidRDefault="00CB061F"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14:paraId="17405F94" w14:textId="77777777" w:rsidR="00CB061F" w:rsidRDefault="00CB06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DAD6B" w14:textId="77777777" w:rsidR="00EF386F" w:rsidRDefault="00EF386F" w:rsidP="001C31D5">
      <w:r>
        <w:separator/>
      </w:r>
    </w:p>
  </w:footnote>
  <w:footnote w:type="continuationSeparator" w:id="0">
    <w:p w14:paraId="6047186F" w14:textId="77777777" w:rsidR="00EF386F" w:rsidRDefault="00EF386F" w:rsidP="001C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61" w:type="pct"/>
      <w:jc w:val="center"/>
      <w:tblBorders>
        <w:insideH w:val="single" w:sz="4" w:space="0" w:color="auto"/>
      </w:tblBorders>
      <w:tblLook w:val="01E0" w:firstRow="1" w:lastRow="1" w:firstColumn="1" w:lastColumn="1" w:noHBand="0" w:noVBand="0"/>
    </w:tblPr>
    <w:tblGrid>
      <w:gridCol w:w="10259"/>
    </w:tblGrid>
    <w:tr w:rsidR="001F260D" w:rsidRPr="00384075" w14:paraId="224665BC" w14:textId="77777777" w:rsidTr="001F260D">
      <w:trPr>
        <w:trHeight w:val="565"/>
        <w:jc w:val="center"/>
      </w:trPr>
      <w:tc>
        <w:tcPr>
          <w:tcW w:w="9889" w:type="dxa"/>
          <w:vAlign w:val="center"/>
        </w:tcPr>
        <w:p w14:paraId="34B787D2" w14:textId="695DAB52" w:rsidR="001F260D" w:rsidRPr="00384075" w:rsidRDefault="001F260D"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2183"/>
            <w:gridCol w:w="6264"/>
            <w:gridCol w:w="1586"/>
          </w:tblGrid>
          <w:tr w:rsidR="00812E11" w14:paraId="08592D52" w14:textId="77777777" w:rsidTr="00374F93">
            <w:trPr>
              <w:trHeight w:val="1275"/>
            </w:trPr>
            <w:tc>
              <w:tcPr>
                <w:tcW w:w="2183" w:type="dxa"/>
                <w:vAlign w:val="center"/>
              </w:tcPr>
              <w:p w14:paraId="7FE2661E" w14:textId="7F06A941" w:rsidR="00282E9D" w:rsidRDefault="00812E11" w:rsidP="00812E11">
                <w:pPr>
                  <w:pStyle w:val="Encabezado"/>
                </w:pPr>
                <w:r>
                  <w:rPr>
                    <w:noProof/>
                    <w:lang w:val="es-CO" w:eastAsia="es-CO"/>
                  </w:rPr>
                  <w:drawing>
                    <wp:anchor distT="0" distB="0" distL="114300" distR="114300" simplePos="0" relativeHeight="251659264" behindDoc="0" locked="0" layoutInCell="1" allowOverlap="1" wp14:anchorId="3D981302" wp14:editId="22CB5A28">
                      <wp:simplePos x="0" y="0"/>
                      <wp:positionH relativeFrom="column">
                        <wp:posOffset>131445</wp:posOffset>
                      </wp:positionH>
                      <wp:positionV relativeFrom="page">
                        <wp:posOffset>158750</wp:posOffset>
                      </wp:positionV>
                      <wp:extent cx="1060450" cy="19812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mintic.png"/>
                              <pic:cNvPicPr/>
                            </pic:nvPicPr>
                            <pic:blipFill>
                              <a:blip r:embed="rId1"/>
                              <a:stretch>
                                <a:fillRect/>
                              </a:stretch>
                            </pic:blipFill>
                            <pic:spPr>
                              <a:xfrm>
                                <a:off x="0" y="0"/>
                                <a:ext cx="1060450" cy="198120"/>
                              </a:xfrm>
                              <a:prstGeom prst="rect">
                                <a:avLst/>
                              </a:prstGeom>
                            </pic:spPr>
                          </pic:pic>
                        </a:graphicData>
                      </a:graphic>
                      <wp14:sizeRelH relativeFrom="page">
                        <wp14:pctWidth>0</wp14:pctWidth>
                      </wp14:sizeRelH>
                      <wp14:sizeRelV relativeFrom="page">
                        <wp14:pctHeight>0</wp14:pctHeight>
                      </wp14:sizeRelV>
                    </wp:anchor>
                  </w:drawing>
                </w:r>
              </w:p>
            </w:tc>
            <w:tc>
              <w:tcPr>
                <w:tcW w:w="6264" w:type="dxa"/>
                <w:vAlign w:val="center"/>
              </w:tcPr>
              <w:p w14:paraId="2B747D25" w14:textId="77777777" w:rsidR="00282E9D" w:rsidRPr="00B924CA" w:rsidRDefault="00664D82" w:rsidP="00282E9D">
                <w:pPr>
                  <w:jc w:val="center"/>
                  <w:rPr>
                    <w:rFonts w:ascii="Arial Narrow" w:hAnsi="Arial Narrow"/>
                  </w:rPr>
                </w:pPr>
                <w:r>
                  <w:rPr>
                    <w:rFonts w:ascii="Arial Narrow" w:hAnsi="Arial Narrow"/>
                  </w:rPr>
                  <w:t>SOPORTE TÉCNICO</w:t>
                </w:r>
              </w:p>
            </w:tc>
            <w:tc>
              <w:tcPr>
                <w:tcW w:w="1586" w:type="dxa"/>
                <w:vAlign w:val="center"/>
              </w:tcPr>
              <w:p w14:paraId="2EF1ABD1" w14:textId="77777777" w:rsidR="00282E9D" w:rsidRDefault="00282E9D" w:rsidP="00282E9D">
                <w:pPr>
                  <w:pStyle w:val="Encabezado"/>
                  <w:jc w:val="center"/>
                </w:pPr>
                <w:r w:rsidRPr="004161E7">
                  <w:rPr>
                    <w:noProof/>
                    <w:lang w:val="es-CO" w:eastAsia="es-CO"/>
                  </w:rPr>
                  <w:drawing>
                    <wp:inline distT="0" distB="0" distL="0" distR="0" wp14:anchorId="19C8F825" wp14:editId="4DE46980">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2C65B3" w14:textId="77777777" w:rsidR="001F260D" w:rsidRPr="00384075" w:rsidRDefault="001F260D" w:rsidP="009320D2">
          <w:pPr>
            <w:pStyle w:val="Estilo2"/>
            <w:numPr>
              <w:ilvl w:val="0"/>
              <w:numId w:val="0"/>
            </w:numPr>
            <w:ind w:left="360"/>
            <w:jc w:val="right"/>
            <w:rPr>
              <w:rFonts w:ascii="Arial" w:hAnsi="Arial" w:cs="Arial"/>
            </w:rPr>
          </w:pPr>
        </w:p>
      </w:tc>
    </w:tr>
  </w:tbl>
  <w:p w14:paraId="01B9B1BF" w14:textId="77777777" w:rsidR="00BD6A64" w:rsidRPr="00874DE8" w:rsidRDefault="00BD6A64"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A600C9"/>
    <w:multiLevelType w:val="hybridMultilevel"/>
    <w:tmpl w:val="7516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8"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8054CDE"/>
    <w:multiLevelType w:val="hybridMultilevel"/>
    <w:tmpl w:val="65C46564"/>
    <w:lvl w:ilvl="0" w:tplc="040A0017">
      <w:start w:val="1"/>
      <w:numFmt w:val="lowerLetter"/>
      <w:lvlText w:val="%1)"/>
      <w:lvlJc w:val="left"/>
      <w:pPr>
        <w:ind w:left="1920" w:hanging="360"/>
      </w:pPr>
    </w:lvl>
    <w:lvl w:ilvl="1" w:tplc="040A0019" w:tentative="1">
      <w:start w:val="1"/>
      <w:numFmt w:val="lowerLetter"/>
      <w:lvlText w:val="%2."/>
      <w:lvlJc w:val="left"/>
      <w:pPr>
        <w:ind w:left="2640" w:hanging="360"/>
      </w:pPr>
    </w:lvl>
    <w:lvl w:ilvl="2" w:tplc="040A001B" w:tentative="1">
      <w:start w:val="1"/>
      <w:numFmt w:val="lowerRoman"/>
      <w:lvlText w:val="%3."/>
      <w:lvlJc w:val="right"/>
      <w:pPr>
        <w:ind w:left="3360" w:hanging="180"/>
      </w:pPr>
    </w:lvl>
    <w:lvl w:ilvl="3" w:tplc="040A000F" w:tentative="1">
      <w:start w:val="1"/>
      <w:numFmt w:val="decimal"/>
      <w:lvlText w:val="%4."/>
      <w:lvlJc w:val="left"/>
      <w:pPr>
        <w:ind w:left="4080" w:hanging="360"/>
      </w:pPr>
    </w:lvl>
    <w:lvl w:ilvl="4" w:tplc="040A0019" w:tentative="1">
      <w:start w:val="1"/>
      <w:numFmt w:val="lowerLetter"/>
      <w:lvlText w:val="%5."/>
      <w:lvlJc w:val="left"/>
      <w:pPr>
        <w:ind w:left="4800" w:hanging="360"/>
      </w:pPr>
    </w:lvl>
    <w:lvl w:ilvl="5" w:tplc="040A001B" w:tentative="1">
      <w:start w:val="1"/>
      <w:numFmt w:val="lowerRoman"/>
      <w:lvlText w:val="%6."/>
      <w:lvlJc w:val="right"/>
      <w:pPr>
        <w:ind w:left="5520" w:hanging="180"/>
      </w:pPr>
    </w:lvl>
    <w:lvl w:ilvl="6" w:tplc="040A000F" w:tentative="1">
      <w:start w:val="1"/>
      <w:numFmt w:val="decimal"/>
      <w:lvlText w:val="%7."/>
      <w:lvlJc w:val="left"/>
      <w:pPr>
        <w:ind w:left="6240" w:hanging="360"/>
      </w:pPr>
    </w:lvl>
    <w:lvl w:ilvl="7" w:tplc="040A0019" w:tentative="1">
      <w:start w:val="1"/>
      <w:numFmt w:val="lowerLetter"/>
      <w:lvlText w:val="%8."/>
      <w:lvlJc w:val="left"/>
      <w:pPr>
        <w:ind w:left="6960" w:hanging="360"/>
      </w:pPr>
    </w:lvl>
    <w:lvl w:ilvl="8" w:tplc="040A001B" w:tentative="1">
      <w:start w:val="1"/>
      <w:numFmt w:val="lowerRoman"/>
      <w:lvlText w:val="%9."/>
      <w:lvlJc w:val="right"/>
      <w:pPr>
        <w:ind w:left="7680" w:hanging="180"/>
      </w:pPr>
    </w:lvl>
  </w:abstractNum>
  <w:abstractNum w:abstractNumId="10"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C3E25F3"/>
    <w:multiLevelType w:val="hybridMultilevel"/>
    <w:tmpl w:val="4C8C05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6"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4EC46BC6"/>
    <w:multiLevelType w:val="hybridMultilevel"/>
    <w:tmpl w:val="8148435A"/>
    <w:lvl w:ilvl="0" w:tplc="7AD8490A">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AFF3EB6"/>
    <w:multiLevelType w:val="hybridMultilevel"/>
    <w:tmpl w:val="056E9CB4"/>
    <w:lvl w:ilvl="0" w:tplc="240A001B">
      <w:start w:val="1"/>
      <w:numFmt w:val="lowerRoman"/>
      <w:lvlText w:val="%1."/>
      <w:lvlJc w:val="righ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5CCF49B1"/>
    <w:multiLevelType w:val="hybridMultilevel"/>
    <w:tmpl w:val="9CBED03A"/>
    <w:lvl w:ilvl="0" w:tplc="3384C09C">
      <w:start w:val="1"/>
      <w:numFmt w:val="upperRoman"/>
      <w:lvlText w:val="%1."/>
      <w:lvlJc w:val="left"/>
      <w:pPr>
        <w:ind w:left="1080" w:hanging="720"/>
      </w:pPr>
      <w:rPr>
        <w:rFonts w:ascii="Times New Roman" w:hAnsi="Times New Roman" w:hint="default"/>
        <w:color w:val="00000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4" w15:restartNumberingAfterBreak="0">
    <w:nsid w:val="6256473C"/>
    <w:multiLevelType w:val="hybridMultilevel"/>
    <w:tmpl w:val="F57A1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67811DB3"/>
    <w:multiLevelType w:val="multilevel"/>
    <w:tmpl w:val="0C0A001F"/>
    <w:numStyleLink w:val="Estilo1"/>
  </w:abstractNum>
  <w:abstractNum w:abstractNumId="27"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8"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
  </w:num>
  <w:num w:numId="4">
    <w:abstractNumId w:val="28"/>
  </w:num>
  <w:num w:numId="5">
    <w:abstractNumId w:val="16"/>
  </w:num>
  <w:num w:numId="6">
    <w:abstractNumId w:val="6"/>
  </w:num>
  <w:num w:numId="7">
    <w:abstractNumId w:val="4"/>
  </w:num>
  <w:num w:numId="8">
    <w:abstractNumId w:val="8"/>
  </w:num>
  <w:num w:numId="9">
    <w:abstractNumId w:val="29"/>
  </w:num>
  <w:num w:numId="10">
    <w:abstractNumId w:val="30"/>
  </w:num>
  <w:num w:numId="11">
    <w:abstractNumId w:val="12"/>
  </w:num>
  <w:num w:numId="12">
    <w:abstractNumId w:val="10"/>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7"/>
  </w:num>
  <w:num w:numId="16">
    <w:abstractNumId w:val="21"/>
  </w:num>
  <w:num w:numId="17">
    <w:abstractNumId w:val="3"/>
  </w:num>
  <w:num w:numId="18">
    <w:abstractNumId w:val="5"/>
  </w:num>
  <w:num w:numId="19">
    <w:abstractNumId w:val="32"/>
  </w:num>
  <w:num w:numId="20">
    <w:abstractNumId w:val="13"/>
  </w:num>
  <w:num w:numId="21">
    <w:abstractNumId w:val="31"/>
  </w:num>
  <w:num w:numId="22">
    <w:abstractNumId w:val="26"/>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7"/>
  </w:num>
  <w:num w:numId="24">
    <w:abstractNumId w:val="23"/>
  </w:num>
  <w:num w:numId="25">
    <w:abstractNumId w:val="27"/>
  </w:num>
  <w:num w:numId="26">
    <w:abstractNumId w:val="0"/>
  </w:num>
  <w:num w:numId="27">
    <w:abstractNumId w:val="20"/>
  </w:num>
  <w:num w:numId="28">
    <w:abstractNumId w:val="9"/>
  </w:num>
  <w:num w:numId="29">
    <w:abstractNumId w:val="19"/>
  </w:num>
  <w:num w:numId="30">
    <w:abstractNumId w:val="18"/>
  </w:num>
  <w:num w:numId="31">
    <w:abstractNumId w:val="24"/>
  </w:num>
  <w:num w:numId="32">
    <w:abstractNumId w:val="14"/>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DB"/>
    <w:rsid w:val="000120CA"/>
    <w:rsid w:val="0001689A"/>
    <w:rsid w:val="00021C86"/>
    <w:rsid w:val="00024ED9"/>
    <w:rsid w:val="000273A7"/>
    <w:rsid w:val="0003154E"/>
    <w:rsid w:val="00032BAD"/>
    <w:rsid w:val="000401A2"/>
    <w:rsid w:val="000427CC"/>
    <w:rsid w:val="0004302A"/>
    <w:rsid w:val="00046747"/>
    <w:rsid w:val="00054427"/>
    <w:rsid w:val="00055950"/>
    <w:rsid w:val="000608B6"/>
    <w:rsid w:val="0006775E"/>
    <w:rsid w:val="00077BE8"/>
    <w:rsid w:val="00080C96"/>
    <w:rsid w:val="0008272E"/>
    <w:rsid w:val="00084D7B"/>
    <w:rsid w:val="000875DA"/>
    <w:rsid w:val="00092248"/>
    <w:rsid w:val="00097F13"/>
    <w:rsid w:val="000A39C2"/>
    <w:rsid w:val="000A6206"/>
    <w:rsid w:val="000B6016"/>
    <w:rsid w:val="000B7E58"/>
    <w:rsid w:val="000C0C67"/>
    <w:rsid w:val="000C0EF5"/>
    <w:rsid w:val="000C1429"/>
    <w:rsid w:val="000C5D78"/>
    <w:rsid w:val="000D0767"/>
    <w:rsid w:val="000D0A08"/>
    <w:rsid w:val="000E1562"/>
    <w:rsid w:val="001004BB"/>
    <w:rsid w:val="001015D4"/>
    <w:rsid w:val="001117EE"/>
    <w:rsid w:val="00112272"/>
    <w:rsid w:val="00112DEF"/>
    <w:rsid w:val="00116683"/>
    <w:rsid w:val="00116D73"/>
    <w:rsid w:val="001248E7"/>
    <w:rsid w:val="00127B40"/>
    <w:rsid w:val="00132DB9"/>
    <w:rsid w:val="0013318A"/>
    <w:rsid w:val="00137878"/>
    <w:rsid w:val="00145A25"/>
    <w:rsid w:val="0014615D"/>
    <w:rsid w:val="00153619"/>
    <w:rsid w:val="001549E2"/>
    <w:rsid w:val="00156622"/>
    <w:rsid w:val="0015786D"/>
    <w:rsid w:val="00160256"/>
    <w:rsid w:val="0016385A"/>
    <w:rsid w:val="00163AF2"/>
    <w:rsid w:val="00166506"/>
    <w:rsid w:val="001735FB"/>
    <w:rsid w:val="00175AB9"/>
    <w:rsid w:val="001901F2"/>
    <w:rsid w:val="00194B79"/>
    <w:rsid w:val="001A0C32"/>
    <w:rsid w:val="001A20FC"/>
    <w:rsid w:val="001B18A5"/>
    <w:rsid w:val="001B5EBF"/>
    <w:rsid w:val="001C31D5"/>
    <w:rsid w:val="001D14B5"/>
    <w:rsid w:val="001D63D4"/>
    <w:rsid w:val="001D6A5B"/>
    <w:rsid w:val="001D7E05"/>
    <w:rsid w:val="001E42C9"/>
    <w:rsid w:val="001E65DF"/>
    <w:rsid w:val="001F1161"/>
    <w:rsid w:val="001F260D"/>
    <w:rsid w:val="001F62F8"/>
    <w:rsid w:val="001F6AE2"/>
    <w:rsid w:val="00200FCD"/>
    <w:rsid w:val="00204A22"/>
    <w:rsid w:val="002050FD"/>
    <w:rsid w:val="00205B64"/>
    <w:rsid w:val="0021268B"/>
    <w:rsid w:val="002137A2"/>
    <w:rsid w:val="00214BE5"/>
    <w:rsid w:val="0021700F"/>
    <w:rsid w:val="002213F4"/>
    <w:rsid w:val="00233523"/>
    <w:rsid w:val="00241307"/>
    <w:rsid w:val="002414CE"/>
    <w:rsid w:val="00245AEA"/>
    <w:rsid w:val="00245FD1"/>
    <w:rsid w:val="0024702F"/>
    <w:rsid w:val="00252479"/>
    <w:rsid w:val="00254FA4"/>
    <w:rsid w:val="0026691C"/>
    <w:rsid w:val="00266AB4"/>
    <w:rsid w:val="00272BD8"/>
    <w:rsid w:val="00272C4E"/>
    <w:rsid w:val="00277582"/>
    <w:rsid w:val="00282E9D"/>
    <w:rsid w:val="00286F9D"/>
    <w:rsid w:val="00291DB7"/>
    <w:rsid w:val="00292AC1"/>
    <w:rsid w:val="002A6A0A"/>
    <w:rsid w:val="002B0B0A"/>
    <w:rsid w:val="002B1B17"/>
    <w:rsid w:val="002B7BA9"/>
    <w:rsid w:val="002C574A"/>
    <w:rsid w:val="002D0A21"/>
    <w:rsid w:val="002D11F5"/>
    <w:rsid w:val="002D315B"/>
    <w:rsid w:val="002D434B"/>
    <w:rsid w:val="002D4F57"/>
    <w:rsid w:val="002E02E0"/>
    <w:rsid w:val="002E0E35"/>
    <w:rsid w:val="002E2C6B"/>
    <w:rsid w:val="002F0317"/>
    <w:rsid w:val="002F16F3"/>
    <w:rsid w:val="002F356D"/>
    <w:rsid w:val="002F3F00"/>
    <w:rsid w:val="002F445E"/>
    <w:rsid w:val="002F4CA2"/>
    <w:rsid w:val="003002ED"/>
    <w:rsid w:val="003011F0"/>
    <w:rsid w:val="0031247B"/>
    <w:rsid w:val="00312ED5"/>
    <w:rsid w:val="003130CD"/>
    <w:rsid w:val="0033101C"/>
    <w:rsid w:val="00332B5B"/>
    <w:rsid w:val="00333DE7"/>
    <w:rsid w:val="0033635F"/>
    <w:rsid w:val="00336A51"/>
    <w:rsid w:val="0034181D"/>
    <w:rsid w:val="003428A6"/>
    <w:rsid w:val="00350A0A"/>
    <w:rsid w:val="00350EDB"/>
    <w:rsid w:val="003519F7"/>
    <w:rsid w:val="00351B59"/>
    <w:rsid w:val="00354B2A"/>
    <w:rsid w:val="00355222"/>
    <w:rsid w:val="00355D96"/>
    <w:rsid w:val="00357E04"/>
    <w:rsid w:val="003673D7"/>
    <w:rsid w:val="0037212B"/>
    <w:rsid w:val="00377C20"/>
    <w:rsid w:val="00383A23"/>
    <w:rsid w:val="00384419"/>
    <w:rsid w:val="00384E98"/>
    <w:rsid w:val="00394F85"/>
    <w:rsid w:val="003A119D"/>
    <w:rsid w:val="003A783B"/>
    <w:rsid w:val="003B1858"/>
    <w:rsid w:val="003B1C85"/>
    <w:rsid w:val="003B789C"/>
    <w:rsid w:val="003C1521"/>
    <w:rsid w:val="003C1C7E"/>
    <w:rsid w:val="003C2C17"/>
    <w:rsid w:val="003D1A66"/>
    <w:rsid w:val="003D45A4"/>
    <w:rsid w:val="003D50ED"/>
    <w:rsid w:val="003E79D4"/>
    <w:rsid w:val="003F264E"/>
    <w:rsid w:val="003F2E76"/>
    <w:rsid w:val="00401BA5"/>
    <w:rsid w:val="00405AB0"/>
    <w:rsid w:val="004125D5"/>
    <w:rsid w:val="00413CF4"/>
    <w:rsid w:val="004156EA"/>
    <w:rsid w:val="00415AE7"/>
    <w:rsid w:val="004168B7"/>
    <w:rsid w:val="00416987"/>
    <w:rsid w:val="004207CA"/>
    <w:rsid w:val="00422BC6"/>
    <w:rsid w:val="00427037"/>
    <w:rsid w:val="00427F4B"/>
    <w:rsid w:val="00430770"/>
    <w:rsid w:val="00431C52"/>
    <w:rsid w:val="004352FB"/>
    <w:rsid w:val="00440ADD"/>
    <w:rsid w:val="00452299"/>
    <w:rsid w:val="00452CF7"/>
    <w:rsid w:val="0045740E"/>
    <w:rsid w:val="00461A98"/>
    <w:rsid w:val="004653AA"/>
    <w:rsid w:val="00466896"/>
    <w:rsid w:val="0047246C"/>
    <w:rsid w:val="0047247E"/>
    <w:rsid w:val="004821B1"/>
    <w:rsid w:val="00484BE0"/>
    <w:rsid w:val="0048716A"/>
    <w:rsid w:val="0048734C"/>
    <w:rsid w:val="00491171"/>
    <w:rsid w:val="004958F3"/>
    <w:rsid w:val="004B6640"/>
    <w:rsid w:val="004B7188"/>
    <w:rsid w:val="004C6AD7"/>
    <w:rsid w:val="004C6F8E"/>
    <w:rsid w:val="004D058F"/>
    <w:rsid w:val="004D7239"/>
    <w:rsid w:val="004F00EB"/>
    <w:rsid w:val="004F02E8"/>
    <w:rsid w:val="004F37DF"/>
    <w:rsid w:val="004F682A"/>
    <w:rsid w:val="004F6933"/>
    <w:rsid w:val="0050295C"/>
    <w:rsid w:val="005071A1"/>
    <w:rsid w:val="0051216F"/>
    <w:rsid w:val="00513E59"/>
    <w:rsid w:val="00520FAB"/>
    <w:rsid w:val="00522088"/>
    <w:rsid w:val="00523CCD"/>
    <w:rsid w:val="00530D64"/>
    <w:rsid w:val="00535C61"/>
    <w:rsid w:val="005363B1"/>
    <w:rsid w:val="00541183"/>
    <w:rsid w:val="00543916"/>
    <w:rsid w:val="005451D9"/>
    <w:rsid w:val="00551441"/>
    <w:rsid w:val="00554CD6"/>
    <w:rsid w:val="00557059"/>
    <w:rsid w:val="00566B9B"/>
    <w:rsid w:val="00576987"/>
    <w:rsid w:val="00584CD6"/>
    <w:rsid w:val="00586A38"/>
    <w:rsid w:val="00586AEE"/>
    <w:rsid w:val="005907E1"/>
    <w:rsid w:val="00595907"/>
    <w:rsid w:val="005A0564"/>
    <w:rsid w:val="005A5AA2"/>
    <w:rsid w:val="005A7198"/>
    <w:rsid w:val="005B40B4"/>
    <w:rsid w:val="005B4E24"/>
    <w:rsid w:val="005B58E8"/>
    <w:rsid w:val="005C10ED"/>
    <w:rsid w:val="005C3D27"/>
    <w:rsid w:val="005D3812"/>
    <w:rsid w:val="005D5E92"/>
    <w:rsid w:val="005D73E9"/>
    <w:rsid w:val="005D7583"/>
    <w:rsid w:val="005E7E92"/>
    <w:rsid w:val="005F4585"/>
    <w:rsid w:val="005F664A"/>
    <w:rsid w:val="00603DAC"/>
    <w:rsid w:val="0060574A"/>
    <w:rsid w:val="00606AFC"/>
    <w:rsid w:val="00617035"/>
    <w:rsid w:val="006175D6"/>
    <w:rsid w:val="0062039D"/>
    <w:rsid w:val="00622458"/>
    <w:rsid w:val="00623B59"/>
    <w:rsid w:val="00623CDD"/>
    <w:rsid w:val="006242F0"/>
    <w:rsid w:val="0062725F"/>
    <w:rsid w:val="00636977"/>
    <w:rsid w:val="00642F9D"/>
    <w:rsid w:val="00644E72"/>
    <w:rsid w:val="006469F4"/>
    <w:rsid w:val="00651F29"/>
    <w:rsid w:val="00655062"/>
    <w:rsid w:val="00655832"/>
    <w:rsid w:val="00656573"/>
    <w:rsid w:val="006624C8"/>
    <w:rsid w:val="00663146"/>
    <w:rsid w:val="00664D82"/>
    <w:rsid w:val="00670708"/>
    <w:rsid w:val="0067306E"/>
    <w:rsid w:val="00675784"/>
    <w:rsid w:val="00683228"/>
    <w:rsid w:val="006837FA"/>
    <w:rsid w:val="00687A28"/>
    <w:rsid w:val="00690391"/>
    <w:rsid w:val="0069489B"/>
    <w:rsid w:val="006973F4"/>
    <w:rsid w:val="00697AA7"/>
    <w:rsid w:val="006A0F11"/>
    <w:rsid w:val="006A2956"/>
    <w:rsid w:val="006A5ACB"/>
    <w:rsid w:val="006A7EFA"/>
    <w:rsid w:val="006B2DE7"/>
    <w:rsid w:val="006B4EE7"/>
    <w:rsid w:val="006B74B3"/>
    <w:rsid w:val="006C0EF2"/>
    <w:rsid w:val="006D0894"/>
    <w:rsid w:val="006D134A"/>
    <w:rsid w:val="006D159D"/>
    <w:rsid w:val="006D1D8D"/>
    <w:rsid w:val="006E590F"/>
    <w:rsid w:val="00705A02"/>
    <w:rsid w:val="00723936"/>
    <w:rsid w:val="00726CF3"/>
    <w:rsid w:val="007318F3"/>
    <w:rsid w:val="0074092B"/>
    <w:rsid w:val="00741CAA"/>
    <w:rsid w:val="00744882"/>
    <w:rsid w:val="0074671A"/>
    <w:rsid w:val="0074690B"/>
    <w:rsid w:val="00747206"/>
    <w:rsid w:val="00762043"/>
    <w:rsid w:val="00762E92"/>
    <w:rsid w:val="007650C4"/>
    <w:rsid w:val="00780350"/>
    <w:rsid w:val="007828D9"/>
    <w:rsid w:val="007833BA"/>
    <w:rsid w:val="007844D4"/>
    <w:rsid w:val="00794273"/>
    <w:rsid w:val="00794520"/>
    <w:rsid w:val="007A0A53"/>
    <w:rsid w:val="007A30D7"/>
    <w:rsid w:val="007A3D6F"/>
    <w:rsid w:val="007A550B"/>
    <w:rsid w:val="007A6819"/>
    <w:rsid w:val="007B07D3"/>
    <w:rsid w:val="007B44E6"/>
    <w:rsid w:val="007B5737"/>
    <w:rsid w:val="007B6B07"/>
    <w:rsid w:val="007B7304"/>
    <w:rsid w:val="007C42A5"/>
    <w:rsid w:val="007D3C2F"/>
    <w:rsid w:val="007D50F2"/>
    <w:rsid w:val="007E5F98"/>
    <w:rsid w:val="007E6370"/>
    <w:rsid w:val="007F535C"/>
    <w:rsid w:val="008014A7"/>
    <w:rsid w:val="008053BB"/>
    <w:rsid w:val="008064B1"/>
    <w:rsid w:val="00812E11"/>
    <w:rsid w:val="00813742"/>
    <w:rsid w:val="0081557D"/>
    <w:rsid w:val="00816419"/>
    <w:rsid w:val="00821CFA"/>
    <w:rsid w:val="008221E4"/>
    <w:rsid w:val="00833FCC"/>
    <w:rsid w:val="00841BBA"/>
    <w:rsid w:val="00846F21"/>
    <w:rsid w:val="0085318E"/>
    <w:rsid w:val="00857B6D"/>
    <w:rsid w:val="008633D2"/>
    <w:rsid w:val="0086570C"/>
    <w:rsid w:val="008678F9"/>
    <w:rsid w:val="00874071"/>
    <w:rsid w:val="00874DE8"/>
    <w:rsid w:val="00875C86"/>
    <w:rsid w:val="008833CB"/>
    <w:rsid w:val="00887188"/>
    <w:rsid w:val="00890CC3"/>
    <w:rsid w:val="008938CD"/>
    <w:rsid w:val="008A2F81"/>
    <w:rsid w:val="008A4F42"/>
    <w:rsid w:val="008A614F"/>
    <w:rsid w:val="008A640D"/>
    <w:rsid w:val="008B351D"/>
    <w:rsid w:val="008B47C7"/>
    <w:rsid w:val="008C63C3"/>
    <w:rsid w:val="008C7913"/>
    <w:rsid w:val="008D332C"/>
    <w:rsid w:val="008D5401"/>
    <w:rsid w:val="008E4343"/>
    <w:rsid w:val="008E4404"/>
    <w:rsid w:val="008E463A"/>
    <w:rsid w:val="008E53D8"/>
    <w:rsid w:val="008E63C7"/>
    <w:rsid w:val="008F44B3"/>
    <w:rsid w:val="008F47EC"/>
    <w:rsid w:val="008F75B6"/>
    <w:rsid w:val="00904580"/>
    <w:rsid w:val="009072D1"/>
    <w:rsid w:val="00907FE8"/>
    <w:rsid w:val="00912F39"/>
    <w:rsid w:val="00916E2B"/>
    <w:rsid w:val="00922F97"/>
    <w:rsid w:val="00925707"/>
    <w:rsid w:val="0092721C"/>
    <w:rsid w:val="00927920"/>
    <w:rsid w:val="009320D2"/>
    <w:rsid w:val="009321FF"/>
    <w:rsid w:val="00935D5B"/>
    <w:rsid w:val="00940CB0"/>
    <w:rsid w:val="00942F6C"/>
    <w:rsid w:val="009454D8"/>
    <w:rsid w:val="00946CAD"/>
    <w:rsid w:val="00963170"/>
    <w:rsid w:val="00963F7A"/>
    <w:rsid w:val="0096517E"/>
    <w:rsid w:val="00975B49"/>
    <w:rsid w:val="00975F46"/>
    <w:rsid w:val="009768D3"/>
    <w:rsid w:val="00980FF9"/>
    <w:rsid w:val="00984C2D"/>
    <w:rsid w:val="009850CE"/>
    <w:rsid w:val="009853C4"/>
    <w:rsid w:val="009868AB"/>
    <w:rsid w:val="009965B8"/>
    <w:rsid w:val="00997024"/>
    <w:rsid w:val="009A27F7"/>
    <w:rsid w:val="009A4300"/>
    <w:rsid w:val="009A501B"/>
    <w:rsid w:val="009A7A29"/>
    <w:rsid w:val="009B1537"/>
    <w:rsid w:val="009B2738"/>
    <w:rsid w:val="009B3501"/>
    <w:rsid w:val="009B3539"/>
    <w:rsid w:val="009B4162"/>
    <w:rsid w:val="009C0D0B"/>
    <w:rsid w:val="009C121F"/>
    <w:rsid w:val="009C521C"/>
    <w:rsid w:val="009D1616"/>
    <w:rsid w:val="009D53B2"/>
    <w:rsid w:val="009D7CC2"/>
    <w:rsid w:val="009E4F5E"/>
    <w:rsid w:val="009F1799"/>
    <w:rsid w:val="009F3BCA"/>
    <w:rsid w:val="009F47D9"/>
    <w:rsid w:val="009F51E5"/>
    <w:rsid w:val="00A0412A"/>
    <w:rsid w:val="00A101E4"/>
    <w:rsid w:val="00A16CAA"/>
    <w:rsid w:val="00A231F9"/>
    <w:rsid w:val="00A32DCD"/>
    <w:rsid w:val="00A3369E"/>
    <w:rsid w:val="00A37F21"/>
    <w:rsid w:val="00A46D65"/>
    <w:rsid w:val="00A54D45"/>
    <w:rsid w:val="00A56858"/>
    <w:rsid w:val="00A60FF8"/>
    <w:rsid w:val="00A61292"/>
    <w:rsid w:val="00A70B13"/>
    <w:rsid w:val="00A720A4"/>
    <w:rsid w:val="00A819EC"/>
    <w:rsid w:val="00A90069"/>
    <w:rsid w:val="00A90D93"/>
    <w:rsid w:val="00A967FD"/>
    <w:rsid w:val="00AB032F"/>
    <w:rsid w:val="00AB1F9F"/>
    <w:rsid w:val="00AB212D"/>
    <w:rsid w:val="00AB6CC2"/>
    <w:rsid w:val="00AB7A93"/>
    <w:rsid w:val="00AD4282"/>
    <w:rsid w:val="00AE0B9D"/>
    <w:rsid w:val="00AE3C74"/>
    <w:rsid w:val="00AF0356"/>
    <w:rsid w:val="00AF254C"/>
    <w:rsid w:val="00AF3EB6"/>
    <w:rsid w:val="00B01E85"/>
    <w:rsid w:val="00B04D6A"/>
    <w:rsid w:val="00B11AC7"/>
    <w:rsid w:val="00B11DBD"/>
    <w:rsid w:val="00B16DC4"/>
    <w:rsid w:val="00B1763D"/>
    <w:rsid w:val="00B17B94"/>
    <w:rsid w:val="00B245CF"/>
    <w:rsid w:val="00B24F3F"/>
    <w:rsid w:val="00B26B5A"/>
    <w:rsid w:val="00B2721C"/>
    <w:rsid w:val="00B34B70"/>
    <w:rsid w:val="00B443C1"/>
    <w:rsid w:val="00B51CD1"/>
    <w:rsid w:val="00B5450E"/>
    <w:rsid w:val="00B545E6"/>
    <w:rsid w:val="00B55046"/>
    <w:rsid w:val="00B57786"/>
    <w:rsid w:val="00B67E36"/>
    <w:rsid w:val="00B70E32"/>
    <w:rsid w:val="00B77C20"/>
    <w:rsid w:val="00B8230D"/>
    <w:rsid w:val="00B84D08"/>
    <w:rsid w:val="00B913AA"/>
    <w:rsid w:val="00B932E5"/>
    <w:rsid w:val="00B93A80"/>
    <w:rsid w:val="00B94214"/>
    <w:rsid w:val="00B949D4"/>
    <w:rsid w:val="00BA5A9E"/>
    <w:rsid w:val="00BA66AC"/>
    <w:rsid w:val="00BA7D5D"/>
    <w:rsid w:val="00BB0356"/>
    <w:rsid w:val="00BB0787"/>
    <w:rsid w:val="00BB383E"/>
    <w:rsid w:val="00BB4F34"/>
    <w:rsid w:val="00BB5C0C"/>
    <w:rsid w:val="00BC725D"/>
    <w:rsid w:val="00BD0233"/>
    <w:rsid w:val="00BD3D67"/>
    <w:rsid w:val="00BD6A64"/>
    <w:rsid w:val="00BE3B65"/>
    <w:rsid w:val="00BF4F29"/>
    <w:rsid w:val="00BF59C1"/>
    <w:rsid w:val="00BF6057"/>
    <w:rsid w:val="00C0000E"/>
    <w:rsid w:val="00C00287"/>
    <w:rsid w:val="00C01927"/>
    <w:rsid w:val="00C02FCB"/>
    <w:rsid w:val="00C03D15"/>
    <w:rsid w:val="00C14381"/>
    <w:rsid w:val="00C14F9E"/>
    <w:rsid w:val="00C17ED7"/>
    <w:rsid w:val="00C20B2F"/>
    <w:rsid w:val="00C20EDC"/>
    <w:rsid w:val="00C223DF"/>
    <w:rsid w:val="00C27E93"/>
    <w:rsid w:val="00C318B9"/>
    <w:rsid w:val="00C334F8"/>
    <w:rsid w:val="00C4025B"/>
    <w:rsid w:val="00C40408"/>
    <w:rsid w:val="00C450E3"/>
    <w:rsid w:val="00C46816"/>
    <w:rsid w:val="00C52CE6"/>
    <w:rsid w:val="00C55A95"/>
    <w:rsid w:val="00C62A4B"/>
    <w:rsid w:val="00C645AB"/>
    <w:rsid w:val="00C649DD"/>
    <w:rsid w:val="00C729A9"/>
    <w:rsid w:val="00C75BB1"/>
    <w:rsid w:val="00C75DE1"/>
    <w:rsid w:val="00C77EB2"/>
    <w:rsid w:val="00C911A3"/>
    <w:rsid w:val="00C93E56"/>
    <w:rsid w:val="00C95E43"/>
    <w:rsid w:val="00C968B3"/>
    <w:rsid w:val="00CA57AF"/>
    <w:rsid w:val="00CA5E3A"/>
    <w:rsid w:val="00CB061F"/>
    <w:rsid w:val="00CB7256"/>
    <w:rsid w:val="00CD2E3D"/>
    <w:rsid w:val="00CD3187"/>
    <w:rsid w:val="00CD663A"/>
    <w:rsid w:val="00CD772D"/>
    <w:rsid w:val="00CE33B5"/>
    <w:rsid w:val="00CF0E14"/>
    <w:rsid w:val="00CF1CF3"/>
    <w:rsid w:val="00CF1D1E"/>
    <w:rsid w:val="00CF4000"/>
    <w:rsid w:val="00CF470D"/>
    <w:rsid w:val="00CF5F3F"/>
    <w:rsid w:val="00CF73F0"/>
    <w:rsid w:val="00CF7CFB"/>
    <w:rsid w:val="00D05FD8"/>
    <w:rsid w:val="00D126AA"/>
    <w:rsid w:val="00D16D01"/>
    <w:rsid w:val="00D303F7"/>
    <w:rsid w:val="00D35FBC"/>
    <w:rsid w:val="00D50118"/>
    <w:rsid w:val="00D50BF3"/>
    <w:rsid w:val="00D558BB"/>
    <w:rsid w:val="00D6366B"/>
    <w:rsid w:val="00D66F58"/>
    <w:rsid w:val="00D70557"/>
    <w:rsid w:val="00D72684"/>
    <w:rsid w:val="00D73110"/>
    <w:rsid w:val="00D738CA"/>
    <w:rsid w:val="00D76A5B"/>
    <w:rsid w:val="00D77190"/>
    <w:rsid w:val="00D90DFC"/>
    <w:rsid w:val="00D96C20"/>
    <w:rsid w:val="00D97C2E"/>
    <w:rsid w:val="00DA1955"/>
    <w:rsid w:val="00DA715A"/>
    <w:rsid w:val="00DB075A"/>
    <w:rsid w:val="00DB4753"/>
    <w:rsid w:val="00DB6670"/>
    <w:rsid w:val="00DB6763"/>
    <w:rsid w:val="00DC1908"/>
    <w:rsid w:val="00DD370B"/>
    <w:rsid w:val="00DD7D74"/>
    <w:rsid w:val="00DE0D32"/>
    <w:rsid w:val="00DE1443"/>
    <w:rsid w:val="00DE43C7"/>
    <w:rsid w:val="00DF3786"/>
    <w:rsid w:val="00DF71DB"/>
    <w:rsid w:val="00DF7381"/>
    <w:rsid w:val="00E04916"/>
    <w:rsid w:val="00E12427"/>
    <w:rsid w:val="00E20879"/>
    <w:rsid w:val="00E21E32"/>
    <w:rsid w:val="00E22E09"/>
    <w:rsid w:val="00E2419B"/>
    <w:rsid w:val="00E26A08"/>
    <w:rsid w:val="00E30D7F"/>
    <w:rsid w:val="00E41D10"/>
    <w:rsid w:val="00E44BD0"/>
    <w:rsid w:val="00E45C6A"/>
    <w:rsid w:val="00E5688A"/>
    <w:rsid w:val="00E6090B"/>
    <w:rsid w:val="00E6543A"/>
    <w:rsid w:val="00E67B63"/>
    <w:rsid w:val="00E8220A"/>
    <w:rsid w:val="00E87813"/>
    <w:rsid w:val="00E973F3"/>
    <w:rsid w:val="00EA32DE"/>
    <w:rsid w:val="00EA3D50"/>
    <w:rsid w:val="00EA6778"/>
    <w:rsid w:val="00EB2796"/>
    <w:rsid w:val="00EB526F"/>
    <w:rsid w:val="00EB6858"/>
    <w:rsid w:val="00EC15FA"/>
    <w:rsid w:val="00EC6EE7"/>
    <w:rsid w:val="00EC7B84"/>
    <w:rsid w:val="00ED6B6A"/>
    <w:rsid w:val="00EE0A2E"/>
    <w:rsid w:val="00EE1352"/>
    <w:rsid w:val="00EE355E"/>
    <w:rsid w:val="00EE4EDC"/>
    <w:rsid w:val="00EE6A9A"/>
    <w:rsid w:val="00EF0699"/>
    <w:rsid w:val="00EF0842"/>
    <w:rsid w:val="00EF386F"/>
    <w:rsid w:val="00EF41F9"/>
    <w:rsid w:val="00EF4DEF"/>
    <w:rsid w:val="00F023E3"/>
    <w:rsid w:val="00F07FAC"/>
    <w:rsid w:val="00F12154"/>
    <w:rsid w:val="00F156B0"/>
    <w:rsid w:val="00F20557"/>
    <w:rsid w:val="00F3466D"/>
    <w:rsid w:val="00F34B11"/>
    <w:rsid w:val="00F41800"/>
    <w:rsid w:val="00F516DB"/>
    <w:rsid w:val="00F55C14"/>
    <w:rsid w:val="00F57DA2"/>
    <w:rsid w:val="00F64435"/>
    <w:rsid w:val="00F81894"/>
    <w:rsid w:val="00F82506"/>
    <w:rsid w:val="00F95E1F"/>
    <w:rsid w:val="00FA2846"/>
    <w:rsid w:val="00FA4A5A"/>
    <w:rsid w:val="00FA5940"/>
    <w:rsid w:val="00FB5C9E"/>
    <w:rsid w:val="00FC14F9"/>
    <w:rsid w:val="00FC4ECF"/>
    <w:rsid w:val="00FC67C4"/>
    <w:rsid w:val="00FE478F"/>
    <w:rsid w:val="00FE74BB"/>
    <w:rsid w:val="00FF5CA0"/>
    <w:rsid w:val="00FF5D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D589E"/>
  <w15:docId w15:val="{A236D690-4F07-45BB-B09E-20518484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uiPriority w:val="99"/>
    <w:rsid w:val="001C31D5"/>
    <w:rPr>
      <w:rFonts w:eastAsia="Times New Roman"/>
      <w:sz w:val="20"/>
      <w:szCs w:val="20"/>
      <w:lang w:val="x-none" w:eastAsia="es-ES"/>
    </w:rPr>
  </w:style>
  <w:style w:type="character" w:customStyle="1" w:styleId="TextonotapieCar">
    <w:name w:val="Texto nota pie Car"/>
    <w:link w:val="Textonotapie"/>
    <w:uiPriority w:val="99"/>
    <w:rsid w:val="001C31D5"/>
    <w:rPr>
      <w:rFonts w:ascii="Times New Roman" w:eastAsia="Times New Roman" w:hAnsi="Times New Roman" w:cs="Times New Roman"/>
      <w:sz w:val="20"/>
      <w:szCs w:val="20"/>
      <w:lang w:eastAsia="es-ES"/>
    </w:rPr>
  </w:style>
  <w:style w:type="character" w:styleId="Refdenotaalpie">
    <w:name w:val="footnote reference"/>
    <w:uiPriority w:val="99"/>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nhideWhenUsed/>
    <w:rsid w:val="002F4CA2"/>
    <w:rPr>
      <w:sz w:val="16"/>
      <w:szCs w:val="16"/>
    </w:rPr>
  </w:style>
  <w:style w:type="paragraph" w:styleId="Textocomentario">
    <w:name w:val="annotation text"/>
    <w:basedOn w:val="Normal"/>
    <w:link w:val="TextocomentarioCar"/>
    <w:unhideWhenUsed/>
    <w:rsid w:val="002F4CA2"/>
    <w:rPr>
      <w:sz w:val="20"/>
      <w:szCs w:val="20"/>
      <w:lang w:val="x-none"/>
    </w:rPr>
  </w:style>
  <w:style w:type="character" w:customStyle="1" w:styleId="TextocomentarioCar">
    <w:name w:val="Texto comentario Car"/>
    <w:link w:val="Textocomentario"/>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5A95"/>
    <w:rPr>
      <w:rFonts w:ascii="Times New Roman" w:hAnsi="Times New Roman"/>
      <w:sz w:val="24"/>
      <w:szCs w:val="24"/>
    </w:rPr>
  </w:style>
  <w:style w:type="paragraph" w:customStyle="1" w:styleId="s4">
    <w:name w:val="s4"/>
    <w:basedOn w:val="Normal"/>
    <w:rsid w:val="007B7304"/>
    <w:pPr>
      <w:spacing w:before="100" w:beforeAutospacing="1" w:after="100" w:afterAutospacing="1"/>
    </w:pPr>
  </w:style>
  <w:style w:type="character" w:customStyle="1" w:styleId="s8">
    <w:name w:val="s8"/>
    <w:rsid w:val="007B7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00455">
      <w:bodyDiv w:val="1"/>
      <w:marLeft w:val="0"/>
      <w:marRight w:val="0"/>
      <w:marTop w:val="0"/>
      <w:marBottom w:val="0"/>
      <w:divBdr>
        <w:top w:val="none" w:sz="0" w:space="0" w:color="auto"/>
        <w:left w:val="none" w:sz="0" w:space="0" w:color="auto"/>
        <w:bottom w:val="none" w:sz="0" w:space="0" w:color="auto"/>
        <w:right w:val="none" w:sz="0" w:space="0" w:color="auto"/>
      </w:divBdr>
    </w:div>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8AC7916091DBB45BF995C2DBE52FE45" ma:contentTypeVersion="2" ma:contentTypeDescription="Crear nuevo documento." ma:contentTypeScope="" ma:versionID="f9c37a6fc486f191acb71bfc30d1750a">
  <xsd:schema xmlns:xsd="http://www.w3.org/2001/XMLSchema" xmlns:xs="http://www.w3.org/2001/XMLSchema" xmlns:p="http://schemas.microsoft.com/office/2006/metadata/properties" xmlns:ns1="http://schemas.microsoft.com/sharepoint/v3" xmlns:ns2="e1459bcb-a4d1-405c-b632-788a7b67bd74" targetNamespace="http://schemas.microsoft.com/office/2006/metadata/properties" ma:root="true" ma:fieldsID="305d318412f8921fc3d90eb43671da12" ns1:_="" ns2:_="">
    <xsd:import namespace="http://schemas.microsoft.com/sharepoint/v3"/>
    <xsd:import namespace="e1459bcb-a4d1-405c-b632-788a7b67bd74"/>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459bcb-a4d1-405c-b632-788a7b67bd74" elementFormDefault="qualified">
    <xsd:import namespace="http://schemas.microsoft.com/office/2006/documentManagement/types"/>
    <xsd:import namespace="http://schemas.microsoft.com/office/infopath/2007/PartnerControls"/>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573EFFF-F376-43FC-B9F8-7EC48B8F80DE}">
  <ds:schemaRefs>
    <ds:schemaRef ds:uri="http://schemas.openxmlformats.org/officeDocument/2006/bibliography"/>
  </ds:schemaRefs>
</ds:datastoreItem>
</file>

<file path=customXml/itemProps2.xml><?xml version="1.0" encoding="utf-8"?>
<ds:datastoreItem xmlns:ds="http://schemas.openxmlformats.org/officeDocument/2006/customXml" ds:itemID="{C8539722-F503-4723-B571-A2E35D7E4115}"/>
</file>

<file path=customXml/itemProps3.xml><?xml version="1.0" encoding="utf-8"?>
<ds:datastoreItem xmlns:ds="http://schemas.openxmlformats.org/officeDocument/2006/customXml" ds:itemID="{940AD2E5-2647-4D88-94C8-6910518BFEDF}"/>
</file>

<file path=customXml/itemProps4.xml><?xml version="1.0" encoding="utf-8"?>
<ds:datastoreItem xmlns:ds="http://schemas.openxmlformats.org/officeDocument/2006/customXml" ds:itemID="{B8F2A78B-CA40-47A7-98C1-FA7BECE7EBF1}"/>
</file>

<file path=docProps/app.xml><?xml version="1.0" encoding="utf-8"?>
<Properties xmlns="http://schemas.openxmlformats.org/officeDocument/2006/extended-properties" xmlns:vt="http://schemas.openxmlformats.org/officeDocument/2006/docPropsVTypes">
  <Template>Normal</Template>
  <TotalTime>0</TotalTime>
  <Pages>2</Pages>
  <Words>1330</Words>
  <Characters>7319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Janeth Cortes Hernandez</dc:creator>
  <cp:lastModifiedBy>Maritza Gomez</cp:lastModifiedBy>
  <cp:revision>2</cp:revision>
  <cp:lastPrinted>2018-01-17T16:53:00Z</cp:lastPrinted>
  <dcterms:created xsi:type="dcterms:W3CDTF">2019-01-21T19:37:00Z</dcterms:created>
  <dcterms:modified xsi:type="dcterms:W3CDTF">2019-01-21T19:37:00Z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0x010100C8AC7916091DBB45BF995C2DBE52FE45</vt:lpwstr>
  </property>
</Properties>
</file>